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143E0" w14:textId="086E4F5A" w:rsidR="00F1697C" w:rsidRDefault="00F1697C">
      <w:r w:rsidRPr="00F1697C">
        <w:rPr>
          <w:noProof/>
        </w:rPr>
        <w:drawing>
          <wp:anchor distT="0" distB="0" distL="114300" distR="114300" simplePos="0" relativeHeight="251663360" behindDoc="0" locked="0" layoutInCell="1" allowOverlap="1" wp14:anchorId="0C193EDC" wp14:editId="67E3BA52">
            <wp:simplePos x="0" y="0"/>
            <wp:positionH relativeFrom="column">
              <wp:posOffset>2707418</wp:posOffset>
            </wp:positionH>
            <wp:positionV relativeFrom="paragraph">
              <wp:posOffset>-298175</wp:posOffset>
            </wp:positionV>
            <wp:extent cx="937895" cy="916741"/>
            <wp:effectExtent l="0" t="0" r="0" b="0"/>
            <wp:wrapNone/>
            <wp:docPr id="1119558287" name="Picture 1" descr="A green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287" name="Picture 1" descr="A green and brown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44484" cy="923181"/>
                    </a:xfrm>
                    <a:prstGeom prst="rect">
                      <a:avLst/>
                    </a:prstGeom>
                  </pic:spPr>
                </pic:pic>
              </a:graphicData>
            </a:graphic>
            <wp14:sizeRelH relativeFrom="margin">
              <wp14:pctWidth>0</wp14:pctWidth>
            </wp14:sizeRelH>
            <wp14:sizeRelV relativeFrom="margin">
              <wp14:pctHeight>0</wp14:pctHeight>
            </wp14:sizeRelV>
          </wp:anchor>
        </w:drawing>
      </w:r>
    </w:p>
    <w:p w14:paraId="436EA691" w14:textId="43FEA3DC" w:rsidR="00F1697C" w:rsidRDefault="00F1697C"/>
    <w:p w14:paraId="12B26F2D" w14:textId="1F9AEF73" w:rsidR="00F1697C" w:rsidRDefault="00F1697C"/>
    <w:p w14:paraId="0E4E0CFE" w14:textId="6E0D953F" w:rsidR="00F1697C" w:rsidRDefault="00856AEC">
      <w:r w:rsidRPr="00D21B9B">
        <w:rPr>
          <w:noProof/>
        </w:rPr>
        <w:drawing>
          <wp:anchor distT="0" distB="0" distL="114300" distR="114300" simplePos="0" relativeHeight="251660288" behindDoc="0" locked="0" layoutInCell="1" allowOverlap="1" wp14:anchorId="78B34CAA" wp14:editId="6AD7FE6E">
            <wp:simplePos x="0" y="0"/>
            <wp:positionH relativeFrom="column">
              <wp:posOffset>3549871</wp:posOffset>
            </wp:positionH>
            <wp:positionV relativeFrom="paragraph">
              <wp:posOffset>3893</wp:posOffset>
            </wp:positionV>
            <wp:extent cx="1534601" cy="891059"/>
            <wp:effectExtent l="0" t="0" r="8890" b="4445"/>
            <wp:wrapNone/>
            <wp:docPr id="774595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95017" name=""/>
                    <pic:cNvPicPr/>
                  </pic:nvPicPr>
                  <pic:blipFill>
                    <a:blip r:embed="rId9">
                      <a:extLst>
                        <a:ext uri="{28A0092B-C50C-407E-A947-70E740481C1C}">
                          <a14:useLocalDpi xmlns:a14="http://schemas.microsoft.com/office/drawing/2010/main" val="0"/>
                        </a:ext>
                      </a:extLst>
                    </a:blip>
                    <a:stretch>
                      <a:fillRect/>
                    </a:stretch>
                  </pic:blipFill>
                  <pic:spPr>
                    <a:xfrm>
                      <a:off x="0" y="0"/>
                      <a:ext cx="1534601" cy="891059"/>
                    </a:xfrm>
                    <a:prstGeom prst="rect">
                      <a:avLst/>
                    </a:prstGeom>
                  </pic:spPr>
                </pic:pic>
              </a:graphicData>
            </a:graphic>
            <wp14:sizeRelH relativeFrom="margin">
              <wp14:pctWidth>0</wp14:pctWidth>
            </wp14:sizeRelH>
            <wp14:sizeRelV relativeFrom="margin">
              <wp14:pctHeight>0</wp14:pctHeight>
            </wp14:sizeRelV>
          </wp:anchor>
        </w:drawing>
      </w:r>
    </w:p>
    <w:p w14:paraId="54C0EE23" w14:textId="32CBD626" w:rsidR="00F1697C" w:rsidRDefault="00856AEC">
      <w:r w:rsidRPr="00D21B9B">
        <w:rPr>
          <w:noProof/>
        </w:rPr>
        <w:drawing>
          <wp:anchor distT="0" distB="0" distL="114300" distR="114300" simplePos="0" relativeHeight="251659264" behindDoc="0" locked="0" layoutInCell="1" allowOverlap="1" wp14:anchorId="4F66EC42" wp14:editId="5C462C80">
            <wp:simplePos x="0" y="0"/>
            <wp:positionH relativeFrom="column">
              <wp:posOffset>2707005</wp:posOffset>
            </wp:positionH>
            <wp:positionV relativeFrom="paragraph">
              <wp:posOffset>731603</wp:posOffset>
            </wp:positionV>
            <wp:extent cx="985740" cy="932815"/>
            <wp:effectExtent l="0" t="0" r="5080" b="635"/>
            <wp:wrapNone/>
            <wp:docPr id="1613954584" name="Picture 1" descr="A blue logo with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54584" name="Picture 1" descr="A blue logo with a map in the midd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85740" cy="93281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2"/>
        <w:gridCol w:w="2003"/>
        <w:gridCol w:w="846"/>
        <w:gridCol w:w="4223"/>
        <w:gridCol w:w="331"/>
      </w:tblGrid>
      <w:tr w:rsidR="00C44D15" w14:paraId="7754835C" w14:textId="77777777" w:rsidTr="00A5744A">
        <w:trPr>
          <w:gridAfter w:val="1"/>
          <w:wAfter w:w="331" w:type="dxa"/>
          <w:trHeight w:val="1170"/>
        </w:trPr>
        <w:tc>
          <w:tcPr>
            <w:tcW w:w="3392" w:type="dxa"/>
          </w:tcPr>
          <w:p w14:paraId="613B5E67" w14:textId="1A2382F5" w:rsidR="00B31D80" w:rsidRDefault="00856AEC" w:rsidP="00F73D26">
            <w:r w:rsidRPr="00D21B9B">
              <w:rPr>
                <w:noProof/>
              </w:rPr>
              <w:drawing>
                <wp:anchor distT="0" distB="0" distL="114300" distR="114300" simplePos="0" relativeHeight="251662336" behindDoc="0" locked="0" layoutInCell="1" allowOverlap="1" wp14:anchorId="13DDB110" wp14:editId="549BBFC3">
                  <wp:simplePos x="0" y="0"/>
                  <wp:positionH relativeFrom="column">
                    <wp:posOffset>1350838</wp:posOffset>
                  </wp:positionH>
                  <wp:positionV relativeFrom="paragraph">
                    <wp:posOffset>-325010</wp:posOffset>
                  </wp:positionV>
                  <wp:extent cx="1288111" cy="747477"/>
                  <wp:effectExtent l="0" t="0" r="7620" b="0"/>
                  <wp:wrapNone/>
                  <wp:docPr id="1809612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12802" name=""/>
                          <pic:cNvPicPr/>
                        </pic:nvPicPr>
                        <pic:blipFill>
                          <a:blip r:embed="rId11">
                            <a:extLst>
                              <a:ext uri="{28A0092B-C50C-407E-A947-70E740481C1C}">
                                <a14:useLocalDpi xmlns:a14="http://schemas.microsoft.com/office/drawing/2010/main" val="0"/>
                              </a:ext>
                            </a:extLst>
                          </a:blip>
                          <a:stretch>
                            <a:fillRect/>
                          </a:stretch>
                        </pic:blipFill>
                        <pic:spPr>
                          <a:xfrm>
                            <a:off x="0" y="0"/>
                            <a:ext cx="1288111" cy="747477"/>
                          </a:xfrm>
                          <a:prstGeom prst="rect">
                            <a:avLst/>
                          </a:prstGeom>
                        </pic:spPr>
                      </pic:pic>
                    </a:graphicData>
                  </a:graphic>
                  <wp14:sizeRelH relativeFrom="margin">
                    <wp14:pctWidth>0</wp14:pctWidth>
                  </wp14:sizeRelH>
                  <wp14:sizeRelV relativeFrom="margin">
                    <wp14:pctHeight>0</wp14:pctHeight>
                  </wp14:sizeRelV>
                </wp:anchor>
              </w:drawing>
            </w:r>
          </w:p>
        </w:tc>
        <w:tc>
          <w:tcPr>
            <w:tcW w:w="2849" w:type="dxa"/>
            <w:gridSpan w:val="2"/>
          </w:tcPr>
          <w:p w14:paraId="3DA186C9" w14:textId="4FA856AD" w:rsidR="00B31D80" w:rsidRDefault="00856AEC" w:rsidP="00F73D26">
            <w:pPr>
              <w:jc w:val="center"/>
            </w:pPr>
            <w:r>
              <w:rPr>
                <w:noProof/>
              </w:rPr>
              <w:drawing>
                <wp:anchor distT="0" distB="0" distL="114300" distR="114300" simplePos="0" relativeHeight="251661312" behindDoc="0" locked="0" layoutInCell="1" allowOverlap="1" wp14:anchorId="10506344" wp14:editId="3744BA5C">
                  <wp:simplePos x="0" y="0"/>
                  <wp:positionH relativeFrom="column">
                    <wp:posOffset>484505</wp:posOffset>
                  </wp:positionH>
                  <wp:positionV relativeFrom="paragraph">
                    <wp:posOffset>-414269</wp:posOffset>
                  </wp:positionV>
                  <wp:extent cx="938254" cy="938254"/>
                  <wp:effectExtent l="0" t="0" r="0" b="0"/>
                  <wp:wrapNone/>
                  <wp:docPr id="770672991" name="Picture 1" descr="A white outline of a stat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72991" name="Picture 1" descr="A white outline of a state with black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8254" cy="938254"/>
                          </a:xfrm>
                          <a:prstGeom prst="rect">
                            <a:avLst/>
                          </a:prstGeom>
                        </pic:spPr>
                      </pic:pic>
                    </a:graphicData>
                  </a:graphic>
                  <wp14:sizeRelH relativeFrom="margin">
                    <wp14:pctWidth>0</wp14:pctWidth>
                  </wp14:sizeRelH>
                  <wp14:sizeRelV relativeFrom="margin">
                    <wp14:pctHeight>0</wp14:pctHeight>
                  </wp14:sizeRelV>
                </wp:anchor>
              </w:drawing>
            </w:r>
          </w:p>
        </w:tc>
        <w:tc>
          <w:tcPr>
            <w:tcW w:w="4223" w:type="dxa"/>
          </w:tcPr>
          <w:p w14:paraId="78BCA009" w14:textId="1CE1CAE0" w:rsidR="00B31D80" w:rsidRDefault="00B31D80" w:rsidP="00A5744A">
            <w:pPr>
              <w:jc w:val="center"/>
            </w:pPr>
          </w:p>
        </w:tc>
      </w:tr>
      <w:tr w:rsidR="00A45706" w14:paraId="18D5762E" w14:textId="77777777" w:rsidTr="00F1697C">
        <w:tc>
          <w:tcPr>
            <w:tcW w:w="5395" w:type="dxa"/>
            <w:gridSpan w:val="2"/>
          </w:tcPr>
          <w:p w14:paraId="45167AC4" w14:textId="5C0123EB" w:rsidR="00A45706" w:rsidRDefault="00A45706" w:rsidP="00A45706">
            <w:pPr>
              <w:jc w:val="center"/>
              <w:rPr>
                <w:rFonts w:asciiTheme="minorHAnsi" w:hAnsiTheme="minorHAnsi" w:cstheme="minorHAnsi"/>
              </w:rPr>
            </w:pPr>
          </w:p>
        </w:tc>
        <w:tc>
          <w:tcPr>
            <w:tcW w:w="5400" w:type="dxa"/>
            <w:gridSpan w:val="3"/>
          </w:tcPr>
          <w:p w14:paraId="0A707F6F" w14:textId="5082B5C1" w:rsidR="00A45706" w:rsidRDefault="00A45706" w:rsidP="00BF3884">
            <w:pPr>
              <w:jc w:val="both"/>
              <w:rPr>
                <w:rFonts w:asciiTheme="minorHAnsi" w:hAnsiTheme="minorHAnsi" w:cstheme="minorHAnsi"/>
              </w:rPr>
            </w:pPr>
          </w:p>
        </w:tc>
      </w:tr>
    </w:tbl>
    <w:p w14:paraId="7498F3B2" w14:textId="4140C984" w:rsidR="00AF7B69" w:rsidRDefault="00D21B9B" w:rsidP="00BF3884">
      <w:pPr>
        <w:spacing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1E3ED89C" w14:textId="3AF5B7A0" w:rsidR="00AF7B69" w:rsidRDefault="00AF7B69" w:rsidP="00BF3884">
      <w:pPr>
        <w:spacing w:line="240" w:lineRule="auto"/>
        <w:jc w:val="both"/>
        <w:rPr>
          <w:rFonts w:asciiTheme="minorHAnsi" w:hAnsiTheme="minorHAnsi" w:cstheme="minorHAnsi"/>
        </w:rPr>
      </w:pPr>
    </w:p>
    <w:p w14:paraId="53A9ABD2" w14:textId="74052EFA" w:rsidR="00A45706" w:rsidRDefault="00AF7B69" w:rsidP="00BF3884">
      <w:pPr>
        <w:spacing w:line="240" w:lineRule="auto"/>
        <w:jc w:val="both"/>
        <w:rPr>
          <w:rFonts w:asciiTheme="minorHAnsi" w:hAnsiTheme="minorHAnsi" w:cstheme="minorHAnsi"/>
        </w:rPr>
      </w:pPr>
      <w:r w:rsidRPr="00AF7B69">
        <w:rPr>
          <w:noProof/>
        </w:rPr>
        <w:t xml:space="preserve"> </w:t>
      </w:r>
    </w:p>
    <w:p w14:paraId="61F2A54E" w14:textId="15402A0C" w:rsidR="005B3052" w:rsidRPr="00BF3884" w:rsidRDefault="00AF7B69" w:rsidP="00BF3884">
      <w:pPr>
        <w:spacing w:line="240" w:lineRule="auto"/>
        <w:jc w:val="both"/>
        <w:rPr>
          <w:rFonts w:asciiTheme="minorHAnsi" w:hAnsiTheme="minorHAnsi" w:cstheme="minorHAnsi"/>
        </w:rPr>
      </w:pPr>
      <w:r>
        <w:rPr>
          <w:rFonts w:asciiTheme="minorHAnsi" w:hAnsiTheme="minorHAnsi" w:cstheme="minorHAnsi"/>
        </w:rPr>
        <w:t xml:space="preserve">August </w:t>
      </w:r>
      <w:r w:rsidR="00856AEC">
        <w:rPr>
          <w:rFonts w:asciiTheme="minorHAnsi" w:hAnsiTheme="minorHAnsi" w:cstheme="minorHAnsi"/>
        </w:rPr>
        <w:t>2</w:t>
      </w:r>
      <w:r w:rsidR="007B04BF" w:rsidRPr="00BF3884">
        <w:rPr>
          <w:rFonts w:asciiTheme="minorHAnsi" w:hAnsiTheme="minorHAnsi" w:cstheme="minorHAnsi"/>
        </w:rPr>
        <w:t>, 202</w:t>
      </w:r>
      <w:r w:rsidR="008D25A4">
        <w:rPr>
          <w:rFonts w:asciiTheme="minorHAnsi" w:hAnsiTheme="minorHAnsi" w:cstheme="minorHAnsi"/>
        </w:rPr>
        <w:t>4</w:t>
      </w:r>
    </w:p>
    <w:p w14:paraId="32DF5629" w14:textId="77777777" w:rsidR="00104AC3" w:rsidRPr="00EB316E" w:rsidRDefault="00104AC3" w:rsidP="00BF3884">
      <w:pPr>
        <w:spacing w:line="240" w:lineRule="auto"/>
        <w:rPr>
          <w:rFonts w:asciiTheme="minorHAnsi" w:hAnsiTheme="minorHAnsi" w:cstheme="minorHAnsi"/>
          <w:sz w:val="20"/>
          <w:szCs w:val="20"/>
        </w:rPr>
      </w:pPr>
    </w:p>
    <w:p w14:paraId="36BA6F7C" w14:textId="77777777" w:rsidR="00294A7A" w:rsidRPr="00BF3884" w:rsidRDefault="005B3052" w:rsidP="00BF3884">
      <w:pPr>
        <w:spacing w:line="240" w:lineRule="auto"/>
        <w:rPr>
          <w:rFonts w:asciiTheme="minorHAnsi" w:hAnsiTheme="minorHAnsi" w:cstheme="minorHAnsi"/>
        </w:rPr>
      </w:pPr>
      <w:r w:rsidRPr="00BF3884">
        <w:rPr>
          <w:rFonts w:asciiTheme="minorHAnsi" w:hAnsiTheme="minorHAnsi" w:cstheme="minorHAnsi"/>
        </w:rPr>
        <w:t>Comment Intake—</w:t>
      </w:r>
      <w:r w:rsidR="00294A7A" w:rsidRPr="00BF3884">
        <w:rPr>
          <w:rFonts w:asciiTheme="minorHAnsi" w:hAnsiTheme="minorHAnsi" w:cstheme="minorHAnsi"/>
        </w:rPr>
        <w:t>Residential Mortgage Fees</w:t>
      </w:r>
    </w:p>
    <w:p w14:paraId="14C3D82E" w14:textId="189F6A37" w:rsidR="005B3052" w:rsidRPr="00BF3884" w:rsidRDefault="005B3052" w:rsidP="00BF3884">
      <w:pPr>
        <w:spacing w:line="240" w:lineRule="auto"/>
        <w:rPr>
          <w:rFonts w:asciiTheme="minorHAnsi" w:hAnsiTheme="minorHAnsi" w:cstheme="minorHAnsi"/>
        </w:rPr>
      </w:pPr>
      <w:r w:rsidRPr="00BF3884">
        <w:rPr>
          <w:rFonts w:asciiTheme="minorHAnsi" w:hAnsiTheme="minorHAnsi" w:cstheme="minorHAnsi"/>
        </w:rPr>
        <w:t>Consumer Financial Protection Bureau</w:t>
      </w:r>
    </w:p>
    <w:p w14:paraId="38491B34" w14:textId="77777777" w:rsidR="005B3052" w:rsidRPr="00BF3884" w:rsidRDefault="005B3052" w:rsidP="00BF3884">
      <w:pPr>
        <w:spacing w:line="240" w:lineRule="auto"/>
        <w:rPr>
          <w:rFonts w:asciiTheme="minorHAnsi" w:hAnsiTheme="minorHAnsi" w:cstheme="minorHAnsi"/>
        </w:rPr>
      </w:pPr>
      <w:r w:rsidRPr="00BF3884">
        <w:rPr>
          <w:rFonts w:asciiTheme="minorHAnsi" w:hAnsiTheme="minorHAnsi" w:cstheme="minorHAnsi"/>
        </w:rPr>
        <w:t>1700 G Street NW</w:t>
      </w:r>
    </w:p>
    <w:p w14:paraId="67A56019" w14:textId="77777777" w:rsidR="005B3052" w:rsidRPr="00BF3884" w:rsidRDefault="005B3052" w:rsidP="00BF3884">
      <w:pPr>
        <w:spacing w:line="240" w:lineRule="auto"/>
        <w:rPr>
          <w:rFonts w:asciiTheme="minorHAnsi" w:hAnsiTheme="minorHAnsi" w:cstheme="minorHAnsi"/>
        </w:rPr>
      </w:pPr>
      <w:r w:rsidRPr="00BF3884">
        <w:rPr>
          <w:rFonts w:asciiTheme="minorHAnsi" w:hAnsiTheme="minorHAnsi" w:cstheme="minorHAnsi"/>
        </w:rPr>
        <w:t>Washington, DC 20552</w:t>
      </w:r>
    </w:p>
    <w:p w14:paraId="4E64807D" w14:textId="77777777" w:rsidR="005B3052" w:rsidRPr="00EB316E" w:rsidRDefault="005B3052" w:rsidP="00BF3884">
      <w:pPr>
        <w:spacing w:line="240" w:lineRule="auto"/>
        <w:rPr>
          <w:rFonts w:asciiTheme="minorHAnsi" w:hAnsiTheme="minorHAnsi" w:cstheme="minorHAnsi"/>
          <w:sz w:val="20"/>
          <w:szCs w:val="20"/>
        </w:rPr>
      </w:pPr>
    </w:p>
    <w:p w14:paraId="00A21A59" w14:textId="0347D174" w:rsidR="005B3052" w:rsidRPr="00BF3884" w:rsidRDefault="005B3052" w:rsidP="00BF3884">
      <w:pPr>
        <w:spacing w:line="240" w:lineRule="auto"/>
        <w:rPr>
          <w:rFonts w:asciiTheme="minorHAnsi" w:hAnsiTheme="minorHAnsi" w:cstheme="minorHAnsi"/>
        </w:rPr>
      </w:pPr>
      <w:r w:rsidRPr="00BF3884">
        <w:rPr>
          <w:rFonts w:asciiTheme="minorHAnsi" w:hAnsiTheme="minorHAnsi" w:cstheme="minorHAnsi"/>
        </w:rPr>
        <w:t xml:space="preserve">re: Docket No. </w:t>
      </w:r>
      <w:r w:rsidR="00363685" w:rsidRPr="00BF3884">
        <w:rPr>
          <w:rFonts w:asciiTheme="minorHAnsi" w:hAnsiTheme="minorHAnsi" w:cstheme="minorHAnsi"/>
        </w:rPr>
        <w:t>CFPB-2024-0021</w:t>
      </w:r>
    </w:p>
    <w:p w14:paraId="65D98120" w14:textId="77777777" w:rsidR="005B3052" w:rsidRPr="00EB316E" w:rsidRDefault="005B3052" w:rsidP="00BF3884">
      <w:pPr>
        <w:spacing w:line="240" w:lineRule="auto"/>
        <w:rPr>
          <w:rFonts w:asciiTheme="minorHAnsi" w:hAnsiTheme="minorHAnsi" w:cstheme="minorHAnsi"/>
          <w:sz w:val="20"/>
          <w:szCs w:val="20"/>
        </w:rPr>
      </w:pPr>
    </w:p>
    <w:p w14:paraId="643B9CB0" w14:textId="71AF5BE6" w:rsidR="005B3052" w:rsidRPr="00BF3884" w:rsidRDefault="005B3052" w:rsidP="00BF3884">
      <w:pPr>
        <w:spacing w:line="240" w:lineRule="auto"/>
        <w:rPr>
          <w:rFonts w:asciiTheme="minorHAnsi" w:hAnsiTheme="minorHAnsi" w:cstheme="minorHAnsi"/>
        </w:rPr>
      </w:pPr>
      <w:r w:rsidRPr="00BF3884">
        <w:rPr>
          <w:rFonts w:asciiTheme="minorHAnsi" w:hAnsiTheme="minorHAnsi" w:cstheme="minorHAnsi"/>
        </w:rPr>
        <w:t xml:space="preserve">Dear Director </w:t>
      </w:r>
      <w:r w:rsidR="002849FB" w:rsidRPr="00BF3884">
        <w:rPr>
          <w:rFonts w:asciiTheme="minorHAnsi" w:hAnsiTheme="minorHAnsi" w:cstheme="minorHAnsi"/>
        </w:rPr>
        <w:t>Chopra</w:t>
      </w:r>
      <w:r w:rsidRPr="00BF3884">
        <w:rPr>
          <w:rFonts w:asciiTheme="minorHAnsi" w:hAnsiTheme="minorHAnsi" w:cstheme="minorHAnsi"/>
        </w:rPr>
        <w:t>,</w:t>
      </w:r>
    </w:p>
    <w:p w14:paraId="5DF6FF1A" w14:textId="77777777" w:rsidR="005B3052" w:rsidRPr="00EB316E" w:rsidRDefault="005B3052" w:rsidP="00BF3884">
      <w:pPr>
        <w:spacing w:line="240" w:lineRule="auto"/>
        <w:rPr>
          <w:rFonts w:asciiTheme="minorHAnsi" w:hAnsiTheme="minorHAnsi" w:cstheme="minorHAnsi"/>
          <w:sz w:val="20"/>
          <w:szCs w:val="20"/>
        </w:rPr>
      </w:pPr>
    </w:p>
    <w:p w14:paraId="67A56940" w14:textId="62E4BF57" w:rsidR="005B3052" w:rsidRPr="00BF3884" w:rsidRDefault="005B3052" w:rsidP="00BF3884">
      <w:pPr>
        <w:spacing w:line="240" w:lineRule="auto"/>
        <w:rPr>
          <w:rFonts w:asciiTheme="minorHAnsi" w:hAnsiTheme="minorHAnsi" w:cstheme="minorHAnsi"/>
        </w:rPr>
      </w:pPr>
      <w:r w:rsidRPr="00BF3884">
        <w:rPr>
          <w:rFonts w:asciiTheme="minorHAnsi" w:hAnsiTheme="minorHAnsi" w:cstheme="minorHAnsi"/>
        </w:rPr>
        <w:t xml:space="preserve">The </w:t>
      </w:r>
      <w:r w:rsidR="004E4505">
        <w:rPr>
          <w:rFonts w:asciiTheme="minorHAnsi" w:hAnsiTheme="minorHAnsi" w:cstheme="minorHAnsi"/>
        </w:rPr>
        <w:t>Mortgage Bankers Association of Arkansas</w:t>
      </w:r>
      <w:r w:rsidR="00856AEC">
        <w:rPr>
          <w:rFonts w:asciiTheme="minorHAnsi" w:hAnsiTheme="minorHAnsi" w:cstheme="minorHAnsi"/>
        </w:rPr>
        <w:t>, Louisiana Mortgage Lenders Association, Mortgage Bankers Association of Missouri, Oklahoma Mortgage Bankers Association and the Tennessee Mortgage Bankers Association</w:t>
      </w:r>
      <w:r w:rsidR="00625C8E">
        <w:rPr>
          <w:rFonts w:asciiTheme="minorHAnsi" w:hAnsiTheme="minorHAnsi" w:cstheme="minorHAnsi"/>
        </w:rPr>
        <w:t xml:space="preserve"> </w:t>
      </w:r>
      <w:r w:rsidRPr="00BF3884">
        <w:rPr>
          <w:rFonts w:asciiTheme="minorHAnsi" w:hAnsiTheme="minorHAnsi" w:cstheme="minorHAnsi"/>
        </w:rPr>
        <w:t>appreciate</w:t>
      </w:r>
      <w:r w:rsidR="004E4505">
        <w:rPr>
          <w:rFonts w:asciiTheme="minorHAnsi" w:hAnsiTheme="minorHAnsi" w:cstheme="minorHAnsi"/>
        </w:rPr>
        <w:t>s</w:t>
      </w:r>
      <w:r w:rsidRPr="00BF3884">
        <w:rPr>
          <w:rFonts w:asciiTheme="minorHAnsi" w:hAnsiTheme="minorHAnsi" w:cstheme="minorHAnsi"/>
        </w:rPr>
        <w:t xml:space="preserve"> the opportunity to comment on the Request for Information (RFI) about the Consumer Financial Protection Bureau’s </w:t>
      </w:r>
      <w:r w:rsidR="000A5898" w:rsidRPr="00BF3884">
        <w:rPr>
          <w:rFonts w:asciiTheme="minorHAnsi" w:hAnsiTheme="minorHAnsi" w:cstheme="minorHAnsi"/>
        </w:rPr>
        <w:t xml:space="preserve">inquiry on increased residential mortgage fees. </w:t>
      </w:r>
      <w:r w:rsidRPr="00BF3884">
        <w:rPr>
          <w:rFonts w:asciiTheme="minorHAnsi" w:hAnsiTheme="minorHAnsi" w:cstheme="minorHAnsi"/>
        </w:rPr>
        <w:t xml:space="preserve"> </w:t>
      </w:r>
    </w:p>
    <w:p w14:paraId="3582B0E4" w14:textId="77777777" w:rsidR="00B85578" w:rsidRPr="003825BB" w:rsidRDefault="00B85578" w:rsidP="00BF3884">
      <w:pPr>
        <w:spacing w:line="240" w:lineRule="auto"/>
        <w:rPr>
          <w:rFonts w:asciiTheme="minorHAnsi" w:hAnsiTheme="minorHAnsi" w:cstheme="minorHAnsi"/>
          <w:sz w:val="20"/>
          <w:szCs w:val="20"/>
        </w:rPr>
      </w:pPr>
    </w:p>
    <w:p w14:paraId="3A8C3658" w14:textId="77777777" w:rsidR="00FC094D" w:rsidRPr="00BF3884" w:rsidRDefault="00B85578" w:rsidP="00BF3884">
      <w:pPr>
        <w:spacing w:line="240" w:lineRule="auto"/>
        <w:rPr>
          <w:rFonts w:asciiTheme="minorHAnsi" w:hAnsiTheme="minorHAnsi" w:cstheme="minorHAnsi"/>
        </w:rPr>
      </w:pPr>
      <w:r w:rsidRPr="00BF3884">
        <w:rPr>
          <w:rFonts w:asciiTheme="minorHAnsi" w:hAnsiTheme="minorHAnsi" w:cstheme="minorHAnsi"/>
        </w:rPr>
        <w:t xml:space="preserve">In recent </w:t>
      </w:r>
      <w:r w:rsidR="00FA4E2F" w:rsidRPr="00BF3884">
        <w:rPr>
          <w:rFonts w:asciiTheme="minorHAnsi" w:hAnsiTheme="minorHAnsi" w:cstheme="minorHAnsi"/>
        </w:rPr>
        <w:t xml:space="preserve">posts, it is clear that the CFPB is </w:t>
      </w:r>
      <w:r w:rsidR="00302EAF" w:rsidRPr="00BF3884">
        <w:rPr>
          <w:rFonts w:asciiTheme="minorHAnsi" w:hAnsiTheme="minorHAnsi" w:cstheme="minorHAnsi"/>
        </w:rPr>
        <w:t>understandabl</w:t>
      </w:r>
      <w:r w:rsidR="000C0C38" w:rsidRPr="00BF3884">
        <w:rPr>
          <w:rFonts w:asciiTheme="minorHAnsi" w:hAnsiTheme="minorHAnsi" w:cstheme="minorHAnsi"/>
        </w:rPr>
        <w:t>y</w:t>
      </w:r>
      <w:r w:rsidR="00302EAF" w:rsidRPr="00BF3884">
        <w:rPr>
          <w:rFonts w:asciiTheme="minorHAnsi" w:hAnsiTheme="minorHAnsi" w:cstheme="minorHAnsi"/>
        </w:rPr>
        <w:t xml:space="preserve"> </w:t>
      </w:r>
      <w:r w:rsidR="00FA4E2F" w:rsidRPr="00BF3884">
        <w:rPr>
          <w:rFonts w:asciiTheme="minorHAnsi" w:hAnsiTheme="minorHAnsi" w:cstheme="minorHAnsi"/>
        </w:rPr>
        <w:t xml:space="preserve">concerned with rising </w:t>
      </w:r>
      <w:r w:rsidR="00A47B2D" w:rsidRPr="00BF3884">
        <w:rPr>
          <w:rFonts w:asciiTheme="minorHAnsi" w:hAnsiTheme="minorHAnsi" w:cstheme="minorHAnsi"/>
        </w:rPr>
        <w:t xml:space="preserve">mortgage closing costs. </w:t>
      </w:r>
      <w:r w:rsidR="00B57071" w:rsidRPr="00BF3884">
        <w:rPr>
          <w:rFonts w:asciiTheme="minorHAnsi" w:hAnsiTheme="minorHAnsi" w:cstheme="minorHAnsi"/>
        </w:rPr>
        <w:t xml:space="preserve">The </w:t>
      </w:r>
      <w:r w:rsidR="006162AA" w:rsidRPr="00BF3884">
        <w:rPr>
          <w:rFonts w:asciiTheme="minorHAnsi" w:hAnsiTheme="minorHAnsi" w:cstheme="minorHAnsi"/>
        </w:rPr>
        <w:t xml:space="preserve">association </w:t>
      </w:r>
      <w:r w:rsidR="00C810A1" w:rsidRPr="00BF3884">
        <w:rPr>
          <w:rFonts w:asciiTheme="minorHAnsi" w:hAnsiTheme="minorHAnsi" w:cstheme="minorHAnsi"/>
        </w:rPr>
        <w:t xml:space="preserve">would </w:t>
      </w:r>
      <w:r w:rsidR="00B57071" w:rsidRPr="00BF3884">
        <w:rPr>
          <w:rFonts w:asciiTheme="minorHAnsi" w:hAnsiTheme="minorHAnsi" w:cstheme="minorHAnsi"/>
        </w:rPr>
        <w:t xml:space="preserve">respectfully ask the Bureau not to automatically assume or put in print that the </w:t>
      </w:r>
      <w:r w:rsidR="00BC3484" w:rsidRPr="00BF3884">
        <w:rPr>
          <w:rFonts w:asciiTheme="minorHAnsi" w:hAnsiTheme="minorHAnsi" w:cstheme="minorHAnsi"/>
        </w:rPr>
        <w:t xml:space="preserve">increase in fees </w:t>
      </w:r>
      <w:r w:rsidR="008B54AB" w:rsidRPr="00BF3884">
        <w:rPr>
          <w:rFonts w:asciiTheme="minorHAnsi" w:hAnsiTheme="minorHAnsi" w:cstheme="minorHAnsi"/>
        </w:rPr>
        <w:t>is</w:t>
      </w:r>
      <w:r w:rsidR="00BC3484" w:rsidRPr="00BF3884">
        <w:rPr>
          <w:rFonts w:asciiTheme="minorHAnsi" w:hAnsiTheme="minorHAnsi" w:cstheme="minorHAnsi"/>
        </w:rPr>
        <w:t xml:space="preserve"> </w:t>
      </w:r>
      <w:r w:rsidR="00826498" w:rsidRPr="00BF3884">
        <w:rPr>
          <w:rFonts w:asciiTheme="minorHAnsi" w:hAnsiTheme="minorHAnsi" w:cstheme="minorHAnsi"/>
        </w:rPr>
        <w:t xml:space="preserve">solely </w:t>
      </w:r>
      <w:r w:rsidR="00BC3484" w:rsidRPr="00BF3884">
        <w:rPr>
          <w:rFonts w:asciiTheme="minorHAnsi" w:hAnsiTheme="minorHAnsi" w:cstheme="minorHAnsi"/>
        </w:rPr>
        <w:t xml:space="preserve">because of </w:t>
      </w:r>
      <w:r w:rsidR="006739EF" w:rsidRPr="00BF3884">
        <w:rPr>
          <w:rFonts w:asciiTheme="minorHAnsi" w:hAnsiTheme="minorHAnsi" w:cstheme="minorHAnsi"/>
        </w:rPr>
        <w:t>“</w:t>
      </w:r>
      <w:r w:rsidR="00BC3484" w:rsidRPr="00BF3884">
        <w:rPr>
          <w:rFonts w:asciiTheme="minorHAnsi" w:hAnsiTheme="minorHAnsi" w:cstheme="minorHAnsi"/>
        </w:rPr>
        <w:t>junk fees</w:t>
      </w:r>
      <w:r w:rsidR="006739EF" w:rsidRPr="00BF3884">
        <w:rPr>
          <w:rFonts w:asciiTheme="minorHAnsi" w:hAnsiTheme="minorHAnsi" w:cstheme="minorHAnsi"/>
        </w:rPr>
        <w:t>”</w:t>
      </w:r>
      <w:r w:rsidR="006E34FA" w:rsidRPr="00BF3884">
        <w:rPr>
          <w:rFonts w:asciiTheme="minorHAnsi" w:hAnsiTheme="minorHAnsi" w:cstheme="minorHAnsi"/>
        </w:rPr>
        <w:t xml:space="preserve">. </w:t>
      </w:r>
      <w:r w:rsidR="00B22897" w:rsidRPr="00BF3884">
        <w:rPr>
          <w:rFonts w:asciiTheme="minorHAnsi" w:hAnsiTheme="minorHAnsi" w:cstheme="minorHAnsi"/>
        </w:rPr>
        <w:t xml:space="preserve">Junk fees are </w:t>
      </w:r>
      <w:r w:rsidR="00746BC1" w:rsidRPr="00BF3884">
        <w:rPr>
          <w:rFonts w:asciiTheme="minorHAnsi" w:hAnsiTheme="minorHAnsi" w:cstheme="minorHAnsi"/>
        </w:rPr>
        <w:t xml:space="preserve">thought of as </w:t>
      </w:r>
      <w:r w:rsidR="00B22897" w:rsidRPr="00BF3884">
        <w:rPr>
          <w:rFonts w:asciiTheme="minorHAnsi" w:hAnsiTheme="minorHAnsi" w:cstheme="minorHAnsi"/>
        </w:rPr>
        <w:t>hidden and bogus fees that ca</w:t>
      </w:r>
      <w:r w:rsidR="006E34FA" w:rsidRPr="00BF3884">
        <w:rPr>
          <w:rFonts w:asciiTheme="minorHAnsi" w:hAnsiTheme="minorHAnsi" w:cstheme="minorHAnsi"/>
        </w:rPr>
        <w:t>n harm consumers.</w:t>
      </w:r>
      <w:r w:rsidR="003274A5" w:rsidRPr="00BF3884">
        <w:rPr>
          <w:rFonts w:asciiTheme="minorHAnsi" w:hAnsiTheme="minorHAnsi" w:cstheme="minorHAnsi"/>
        </w:rPr>
        <w:t xml:space="preserve"> </w:t>
      </w:r>
      <w:r w:rsidR="00260CB0" w:rsidRPr="00BF3884">
        <w:rPr>
          <w:rFonts w:asciiTheme="minorHAnsi" w:hAnsiTheme="minorHAnsi" w:cstheme="minorHAnsi"/>
        </w:rPr>
        <w:t xml:space="preserve">We would respectfully </w:t>
      </w:r>
      <w:r w:rsidR="0097471D" w:rsidRPr="00BF3884">
        <w:rPr>
          <w:rFonts w:asciiTheme="minorHAnsi" w:hAnsiTheme="minorHAnsi" w:cstheme="minorHAnsi"/>
        </w:rPr>
        <w:t>argue that very few mortgage lenders</w:t>
      </w:r>
      <w:r w:rsidR="00746BC1" w:rsidRPr="00BF3884">
        <w:rPr>
          <w:rFonts w:asciiTheme="minorHAnsi" w:hAnsiTheme="minorHAnsi" w:cstheme="minorHAnsi"/>
        </w:rPr>
        <w:t xml:space="preserve"> charge consumers </w:t>
      </w:r>
      <w:r w:rsidR="002F3B08" w:rsidRPr="00BF3884">
        <w:rPr>
          <w:rFonts w:asciiTheme="minorHAnsi" w:hAnsiTheme="minorHAnsi" w:cstheme="minorHAnsi"/>
        </w:rPr>
        <w:t>with “junk fees” and it casts the mortgage industry in a negative light when this is</w:t>
      </w:r>
      <w:r w:rsidR="00FC094D" w:rsidRPr="00BF3884">
        <w:rPr>
          <w:rFonts w:asciiTheme="minorHAnsi" w:hAnsiTheme="minorHAnsi" w:cstheme="minorHAnsi"/>
        </w:rPr>
        <w:t xml:space="preserve"> suggested as a practice. </w:t>
      </w:r>
    </w:p>
    <w:p w14:paraId="16B4E455" w14:textId="77777777" w:rsidR="00FC094D" w:rsidRPr="003825BB" w:rsidRDefault="00FC094D" w:rsidP="00BF3884">
      <w:pPr>
        <w:spacing w:line="240" w:lineRule="auto"/>
        <w:rPr>
          <w:rFonts w:asciiTheme="minorHAnsi" w:hAnsiTheme="minorHAnsi" w:cstheme="minorHAnsi"/>
          <w:sz w:val="20"/>
          <w:szCs w:val="20"/>
        </w:rPr>
      </w:pPr>
    </w:p>
    <w:p w14:paraId="67D78CEB" w14:textId="77777777" w:rsidR="00D6455E" w:rsidRPr="00BF3884" w:rsidRDefault="00323B7A" w:rsidP="00BF3884">
      <w:pPr>
        <w:spacing w:line="240" w:lineRule="auto"/>
        <w:rPr>
          <w:rFonts w:asciiTheme="minorHAnsi" w:hAnsiTheme="minorHAnsi" w:cstheme="minorHAnsi"/>
          <w:b/>
          <w:bCs/>
        </w:rPr>
      </w:pPr>
      <w:r w:rsidRPr="00BF3884">
        <w:rPr>
          <w:rFonts w:asciiTheme="minorHAnsi" w:hAnsiTheme="minorHAnsi" w:cstheme="minorHAnsi"/>
          <w:b/>
          <w:bCs/>
        </w:rPr>
        <w:t>Regarding the Ma</w:t>
      </w:r>
      <w:r w:rsidR="008955EF" w:rsidRPr="00BF3884">
        <w:rPr>
          <w:rFonts w:asciiTheme="minorHAnsi" w:hAnsiTheme="minorHAnsi" w:cstheme="minorHAnsi"/>
          <w:b/>
          <w:bCs/>
        </w:rPr>
        <w:t xml:space="preserve">y </w:t>
      </w:r>
      <w:r w:rsidR="00D6455E" w:rsidRPr="00BF3884">
        <w:rPr>
          <w:rFonts w:asciiTheme="minorHAnsi" w:hAnsiTheme="minorHAnsi" w:cstheme="minorHAnsi"/>
          <w:b/>
          <w:bCs/>
        </w:rPr>
        <w:t>30</w:t>
      </w:r>
      <w:r w:rsidR="00D6455E" w:rsidRPr="00BF3884">
        <w:rPr>
          <w:rFonts w:asciiTheme="minorHAnsi" w:hAnsiTheme="minorHAnsi" w:cstheme="minorHAnsi"/>
          <w:b/>
          <w:bCs/>
          <w:vertAlign w:val="superscript"/>
        </w:rPr>
        <w:t>th</w:t>
      </w:r>
      <w:r w:rsidR="00D6455E" w:rsidRPr="00BF3884">
        <w:rPr>
          <w:rFonts w:asciiTheme="minorHAnsi" w:hAnsiTheme="minorHAnsi" w:cstheme="minorHAnsi"/>
          <w:b/>
          <w:bCs/>
        </w:rPr>
        <w:t xml:space="preserve"> announcement and title insurance: </w:t>
      </w:r>
    </w:p>
    <w:p w14:paraId="1775AE56" w14:textId="77777777" w:rsidR="004027C2" w:rsidRPr="00BF3884" w:rsidRDefault="00472C66" w:rsidP="00BF3884">
      <w:pPr>
        <w:spacing w:line="240" w:lineRule="auto"/>
        <w:rPr>
          <w:rFonts w:asciiTheme="minorHAnsi" w:hAnsiTheme="minorHAnsi" w:cstheme="minorHAnsi"/>
        </w:rPr>
      </w:pPr>
      <w:r w:rsidRPr="00BF3884">
        <w:rPr>
          <w:rFonts w:asciiTheme="minorHAnsi" w:hAnsiTheme="minorHAnsi" w:cstheme="minorHAnsi"/>
        </w:rPr>
        <w:t xml:space="preserve">Contained within the announcement </w:t>
      </w:r>
      <w:r w:rsidR="00792780" w:rsidRPr="00BF3884">
        <w:rPr>
          <w:rFonts w:asciiTheme="minorHAnsi" w:hAnsiTheme="minorHAnsi" w:cstheme="minorHAnsi"/>
        </w:rPr>
        <w:t xml:space="preserve">for this </w:t>
      </w:r>
      <w:r w:rsidR="003564F3" w:rsidRPr="00BF3884">
        <w:rPr>
          <w:rFonts w:asciiTheme="minorHAnsi" w:hAnsiTheme="minorHAnsi" w:cstheme="minorHAnsi"/>
        </w:rPr>
        <w:t xml:space="preserve">RFI </w:t>
      </w:r>
      <w:r w:rsidR="00D417FA" w:rsidRPr="00BF3884">
        <w:rPr>
          <w:rFonts w:asciiTheme="minorHAnsi" w:hAnsiTheme="minorHAnsi" w:cstheme="minorHAnsi"/>
        </w:rPr>
        <w:t xml:space="preserve">were comments related to title insurance, yet no specific question addressing title insurance was </w:t>
      </w:r>
      <w:r w:rsidR="006D5144" w:rsidRPr="00BF3884">
        <w:rPr>
          <w:rFonts w:asciiTheme="minorHAnsi" w:hAnsiTheme="minorHAnsi" w:cstheme="minorHAnsi"/>
        </w:rPr>
        <w:t xml:space="preserve">contained in the RFI. </w:t>
      </w:r>
      <w:r w:rsidR="007B6861" w:rsidRPr="00BF3884">
        <w:rPr>
          <w:rFonts w:asciiTheme="minorHAnsi" w:hAnsiTheme="minorHAnsi" w:cstheme="minorHAnsi"/>
        </w:rPr>
        <w:t xml:space="preserve">The RFI indicated that title insurance was another major fee paid at closing, with limited options </w:t>
      </w:r>
      <w:r w:rsidR="004027C2" w:rsidRPr="00BF3884">
        <w:rPr>
          <w:rFonts w:asciiTheme="minorHAnsi" w:hAnsiTheme="minorHAnsi" w:cstheme="minorHAnsi"/>
        </w:rPr>
        <w:t>for consumers to comparison shop.</w:t>
      </w:r>
    </w:p>
    <w:p w14:paraId="5F00BB9A" w14:textId="77777777" w:rsidR="004027C2" w:rsidRPr="003825BB" w:rsidRDefault="004027C2" w:rsidP="00BF3884">
      <w:pPr>
        <w:spacing w:line="240" w:lineRule="auto"/>
        <w:rPr>
          <w:rFonts w:asciiTheme="minorHAnsi" w:hAnsiTheme="minorHAnsi" w:cstheme="minorHAnsi"/>
          <w:sz w:val="20"/>
          <w:szCs w:val="20"/>
        </w:rPr>
      </w:pPr>
    </w:p>
    <w:p w14:paraId="05EACBEC" w14:textId="6508B142" w:rsidR="00252CDB" w:rsidRPr="00BF3884" w:rsidRDefault="00514CC8" w:rsidP="00BF3884">
      <w:pPr>
        <w:spacing w:line="240" w:lineRule="auto"/>
        <w:rPr>
          <w:rFonts w:asciiTheme="minorHAnsi" w:hAnsiTheme="minorHAnsi" w:cstheme="minorHAnsi"/>
        </w:rPr>
      </w:pPr>
      <w:r>
        <w:rPr>
          <w:rFonts w:asciiTheme="minorHAnsi" w:hAnsiTheme="minorHAnsi" w:cstheme="minorHAnsi"/>
        </w:rPr>
        <w:t xml:space="preserve">We would </w:t>
      </w:r>
      <w:r w:rsidR="00252CDB" w:rsidRPr="00BF3884">
        <w:rPr>
          <w:rFonts w:asciiTheme="minorHAnsi" w:hAnsiTheme="minorHAnsi" w:cstheme="minorHAnsi"/>
        </w:rPr>
        <w:t>like to first address the importance of title insurance</w:t>
      </w:r>
      <w:r w:rsidR="00196D44" w:rsidRPr="00BF3884">
        <w:rPr>
          <w:rFonts w:asciiTheme="minorHAnsi" w:hAnsiTheme="minorHAnsi" w:cstheme="minorHAnsi"/>
        </w:rPr>
        <w:t xml:space="preserve"> for consumers</w:t>
      </w:r>
      <w:r w:rsidR="006A2F49" w:rsidRPr="00BF3884">
        <w:rPr>
          <w:rFonts w:asciiTheme="minorHAnsi" w:hAnsiTheme="minorHAnsi" w:cstheme="minorHAnsi"/>
        </w:rPr>
        <w:t xml:space="preserve"> </w:t>
      </w:r>
      <w:r w:rsidR="000D7794" w:rsidRPr="00BF3884">
        <w:rPr>
          <w:rFonts w:asciiTheme="minorHAnsi" w:hAnsiTheme="minorHAnsi" w:cstheme="minorHAnsi"/>
        </w:rPr>
        <w:t>and lenders</w:t>
      </w:r>
      <w:r w:rsidR="00922BBF" w:rsidRPr="00BF3884">
        <w:rPr>
          <w:rFonts w:asciiTheme="minorHAnsi" w:hAnsiTheme="minorHAnsi" w:cstheme="minorHAnsi"/>
        </w:rPr>
        <w:t xml:space="preserve">; </w:t>
      </w:r>
      <w:r w:rsidR="006A2F49" w:rsidRPr="00BF3884">
        <w:rPr>
          <w:rFonts w:asciiTheme="minorHAnsi" w:hAnsiTheme="minorHAnsi" w:cstheme="minorHAnsi"/>
        </w:rPr>
        <w:t xml:space="preserve">and resources available for </w:t>
      </w:r>
      <w:hyperlink r:id="rId13" w:history="1">
        <w:r w:rsidR="006A2F49" w:rsidRPr="00BF3884">
          <w:rPr>
            <w:rStyle w:val="Hyperlink"/>
            <w:rFonts w:asciiTheme="minorHAnsi" w:hAnsiTheme="minorHAnsi" w:cstheme="minorHAnsi"/>
          </w:rPr>
          <w:t xml:space="preserve">data </w:t>
        </w:r>
        <w:r w:rsidR="00B30C3F" w:rsidRPr="00BF3884">
          <w:rPr>
            <w:rStyle w:val="Hyperlink"/>
            <w:rFonts w:asciiTheme="minorHAnsi" w:hAnsiTheme="minorHAnsi" w:cstheme="minorHAnsi"/>
          </w:rPr>
          <w:t>analysis</w:t>
        </w:r>
      </w:hyperlink>
      <w:r w:rsidR="00B30C3F" w:rsidRPr="00BF3884">
        <w:rPr>
          <w:rFonts w:asciiTheme="minorHAnsi" w:hAnsiTheme="minorHAnsi" w:cstheme="minorHAnsi"/>
        </w:rPr>
        <w:t xml:space="preserve"> by the CFPB</w:t>
      </w:r>
      <w:r w:rsidR="00FF3AC1" w:rsidRPr="00BF3884">
        <w:rPr>
          <w:rFonts w:asciiTheme="minorHAnsi" w:hAnsiTheme="minorHAnsi" w:cstheme="minorHAnsi"/>
        </w:rPr>
        <w:t xml:space="preserve">. The American Land Title Association (ALTA) publishes </w:t>
      </w:r>
      <w:r w:rsidR="0038373C" w:rsidRPr="00BF3884">
        <w:rPr>
          <w:rFonts w:asciiTheme="minorHAnsi" w:hAnsiTheme="minorHAnsi" w:cstheme="minorHAnsi"/>
        </w:rPr>
        <w:t xml:space="preserve">quarterly </w:t>
      </w:r>
      <w:r w:rsidR="00B4784F" w:rsidRPr="00BF3884">
        <w:rPr>
          <w:rFonts w:asciiTheme="minorHAnsi" w:hAnsiTheme="minorHAnsi" w:cstheme="minorHAnsi"/>
        </w:rPr>
        <w:t xml:space="preserve">industry financial data reports. </w:t>
      </w:r>
      <w:r w:rsidR="000E602C" w:rsidRPr="00BF3884">
        <w:rPr>
          <w:rFonts w:asciiTheme="minorHAnsi" w:hAnsiTheme="minorHAnsi" w:cstheme="minorHAnsi"/>
        </w:rPr>
        <w:t xml:space="preserve">According to </w:t>
      </w:r>
      <w:r w:rsidR="00D97279" w:rsidRPr="00BF3884">
        <w:rPr>
          <w:rFonts w:asciiTheme="minorHAnsi" w:hAnsiTheme="minorHAnsi" w:cstheme="minorHAnsi"/>
        </w:rPr>
        <w:t xml:space="preserve">a </w:t>
      </w:r>
      <w:hyperlink r:id="rId14" w:history="1">
        <w:r w:rsidR="00D97279" w:rsidRPr="00BF3884">
          <w:rPr>
            <w:rStyle w:val="Hyperlink"/>
            <w:rFonts w:asciiTheme="minorHAnsi" w:hAnsiTheme="minorHAnsi" w:cstheme="minorHAnsi"/>
          </w:rPr>
          <w:t>press release</w:t>
        </w:r>
      </w:hyperlink>
      <w:r w:rsidR="00D97279" w:rsidRPr="00BF3884">
        <w:rPr>
          <w:rFonts w:asciiTheme="minorHAnsi" w:hAnsiTheme="minorHAnsi" w:cstheme="minorHAnsi"/>
        </w:rPr>
        <w:t xml:space="preserve"> regarding 2023 volume:</w:t>
      </w:r>
    </w:p>
    <w:p w14:paraId="1ED0EBE8" w14:textId="77777777" w:rsidR="00F557F7" w:rsidRPr="003825BB" w:rsidRDefault="00F557F7" w:rsidP="00BF3884">
      <w:pPr>
        <w:spacing w:line="240" w:lineRule="auto"/>
        <w:rPr>
          <w:rFonts w:asciiTheme="minorHAnsi" w:hAnsiTheme="minorHAnsi" w:cstheme="minorHAnsi"/>
          <w:sz w:val="20"/>
          <w:szCs w:val="20"/>
        </w:rPr>
      </w:pPr>
    </w:p>
    <w:p w14:paraId="3E773C56" w14:textId="31BD754D" w:rsidR="00EE7FD9" w:rsidRPr="00BF3884" w:rsidRDefault="00EE7FD9" w:rsidP="00BF3884">
      <w:pPr>
        <w:pStyle w:val="ListParagraph"/>
        <w:numPr>
          <w:ilvl w:val="0"/>
          <w:numId w:val="6"/>
        </w:numPr>
        <w:spacing w:line="240" w:lineRule="auto"/>
        <w:rPr>
          <w:rFonts w:asciiTheme="minorHAnsi" w:hAnsiTheme="minorHAnsi" w:cstheme="minorHAnsi"/>
        </w:rPr>
      </w:pPr>
      <w:r w:rsidRPr="00BF3884">
        <w:rPr>
          <w:rFonts w:asciiTheme="minorHAnsi" w:hAnsiTheme="minorHAnsi" w:cstheme="minorHAnsi"/>
        </w:rPr>
        <w:t xml:space="preserve">In 2023, the industry paid more than </w:t>
      </w:r>
      <w:r w:rsidRPr="00BF3884">
        <w:rPr>
          <w:rFonts w:asciiTheme="minorHAnsi" w:hAnsiTheme="minorHAnsi" w:cstheme="minorHAnsi"/>
          <w:b/>
          <w:bCs/>
        </w:rPr>
        <w:t>$638 million in claims</w:t>
      </w:r>
      <w:r w:rsidRPr="00BF3884">
        <w:rPr>
          <w:rFonts w:asciiTheme="minorHAnsi" w:hAnsiTheme="minorHAnsi" w:cstheme="minorHAnsi"/>
        </w:rPr>
        <w:t>. This is up from $596 million in claims paid in 2022</w:t>
      </w:r>
    </w:p>
    <w:p w14:paraId="58582E07" w14:textId="77777777" w:rsidR="006A2F49" w:rsidRPr="003825BB" w:rsidRDefault="006A2F49" w:rsidP="00BF3884">
      <w:pPr>
        <w:spacing w:line="240" w:lineRule="auto"/>
        <w:rPr>
          <w:rFonts w:asciiTheme="minorHAnsi" w:hAnsiTheme="minorHAnsi" w:cstheme="minorHAnsi"/>
          <w:sz w:val="20"/>
          <w:szCs w:val="20"/>
        </w:rPr>
      </w:pPr>
    </w:p>
    <w:p w14:paraId="77B377AF" w14:textId="6A87AD75" w:rsidR="003F7183" w:rsidRPr="00BF3884" w:rsidRDefault="00C863D9" w:rsidP="00BF3884">
      <w:pPr>
        <w:pStyle w:val="ListParagraph"/>
        <w:numPr>
          <w:ilvl w:val="0"/>
          <w:numId w:val="6"/>
        </w:numPr>
        <w:shd w:val="clear" w:color="auto" w:fill="FFFFFF"/>
        <w:spacing w:line="240" w:lineRule="auto"/>
        <w:rPr>
          <w:rFonts w:asciiTheme="minorHAnsi" w:hAnsiTheme="minorHAnsi" w:cstheme="minorHAnsi"/>
          <w:color w:val="101820"/>
        </w:rPr>
      </w:pPr>
      <w:r w:rsidRPr="00BF3884">
        <w:rPr>
          <w:rFonts w:asciiTheme="minorHAnsi" w:hAnsiTheme="minorHAnsi" w:cstheme="minorHAnsi"/>
          <w:color w:val="101820"/>
        </w:rPr>
        <w:t>A</w:t>
      </w:r>
      <w:r w:rsidR="002D03A6" w:rsidRPr="00BF3884">
        <w:rPr>
          <w:rFonts w:asciiTheme="minorHAnsi" w:hAnsiTheme="minorHAnsi" w:cstheme="minorHAnsi"/>
          <w:color w:val="101820"/>
        </w:rPr>
        <w:t>ccording to </w:t>
      </w:r>
      <w:hyperlink r:id="rId15" w:tgtFrame="_blank" w:history="1">
        <w:r w:rsidR="002D03A6" w:rsidRPr="00BF3884">
          <w:rPr>
            <w:rStyle w:val="Hyperlink"/>
            <w:rFonts w:asciiTheme="minorHAnsi" w:hAnsiTheme="minorHAnsi" w:cstheme="minorHAnsi"/>
            <w:b/>
            <w:bCs/>
            <w:color w:val="1D4F91"/>
          </w:rPr>
          <w:t>an independent analysis</w:t>
        </w:r>
      </w:hyperlink>
      <w:r w:rsidR="002D03A6" w:rsidRPr="00BF3884">
        <w:rPr>
          <w:rFonts w:asciiTheme="minorHAnsi" w:hAnsiTheme="minorHAnsi" w:cstheme="minorHAnsi"/>
          <w:color w:val="101820"/>
        </w:rPr>
        <w:t> conducted by consulting firm Milliman</w:t>
      </w:r>
      <w:r w:rsidR="00557751" w:rsidRPr="00BF3884">
        <w:rPr>
          <w:rFonts w:asciiTheme="minorHAnsi" w:hAnsiTheme="minorHAnsi" w:cstheme="minorHAnsi"/>
          <w:color w:val="101820"/>
        </w:rPr>
        <w:t xml:space="preserve">, </w:t>
      </w:r>
      <w:r w:rsidR="002D03A6" w:rsidRPr="00BF3884">
        <w:rPr>
          <w:rFonts w:asciiTheme="minorHAnsi" w:hAnsiTheme="minorHAnsi" w:cstheme="minorHAnsi"/>
          <w:color w:val="101820"/>
        </w:rPr>
        <w:t>nearly 30% of title insurers’ losses and claims expenses arose from title problems not discoverable from a public records search. </w:t>
      </w:r>
      <w:r w:rsidR="003F7183" w:rsidRPr="00BF3884">
        <w:rPr>
          <w:rFonts w:asciiTheme="minorHAnsi" w:hAnsiTheme="minorHAnsi" w:cstheme="minorHAnsi"/>
        </w:rPr>
        <w:t xml:space="preserve">While Fraud and Forgery claims are the most expensive to address in terms of losses and </w:t>
      </w:r>
      <w:r w:rsidR="003F7183" w:rsidRPr="00BF3884">
        <w:rPr>
          <w:rFonts w:asciiTheme="minorHAnsi" w:hAnsiTheme="minorHAnsi" w:cstheme="minorHAnsi"/>
        </w:rPr>
        <w:lastRenderedPageBreak/>
        <w:t>expenses, the most frequent type of claims are related to mortgages, judgments, and liens other than mechanics’ liens.</w:t>
      </w:r>
    </w:p>
    <w:p w14:paraId="2EF75CA6" w14:textId="77777777" w:rsidR="007C041A" w:rsidRPr="003825BB" w:rsidRDefault="007C041A" w:rsidP="00BF3884">
      <w:pPr>
        <w:pStyle w:val="ListParagraph"/>
        <w:spacing w:line="240" w:lineRule="auto"/>
        <w:rPr>
          <w:rFonts w:asciiTheme="minorHAnsi" w:hAnsiTheme="minorHAnsi" w:cstheme="minorHAnsi"/>
          <w:color w:val="101820"/>
          <w:sz w:val="20"/>
          <w:szCs w:val="20"/>
        </w:rPr>
      </w:pPr>
    </w:p>
    <w:p w14:paraId="59A69EE9" w14:textId="36446DC6" w:rsidR="000D1554" w:rsidRPr="00BF3884" w:rsidRDefault="007C041A" w:rsidP="00BF3884">
      <w:pPr>
        <w:shd w:val="clear" w:color="auto" w:fill="FFFFFF"/>
        <w:spacing w:line="240" w:lineRule="auto"/>
        <w:rPr>
          <w:rFonts w:asciiTheme="minorHAnsi" w:hAnsiTheme="minorHAnsi" w:cstheme="minorHAnsi"/>
          <w:color w:val="101820"/>
        </w:rPr>
      </w:pPr>
      <w:r w:rsidRPr="00BF3884">
        <w:rPr>
          <w:rFonts w:asciiTheme="minorHAnsi" w:hAnsiTheme="minorHAnsi" w:cstheme="minorHAnsi"/>
          <w:color w:val="101820"/>
        </w:rPr>
        <w:t>As association</w:t>
      </w:r>
      <w:r w:rsidR="009C4FBA">
        <w:rPr>
          <w:rFonts w:asciiTheme="minorHAnsi" w:hAnsiTheme="minorHAnsi" w:cstheme="minorHAnsi"/>
          <w:color w:val="101820"/>
        </w:rPr>
        <w:t>s</w:t>
      </w:r>
      <w:r w:rsidRPr="00BF3884">
        <w:rPr>
          <w:rFonts w:asciiTheme="minorHAnsi" w:hAnsiTheme="minorHAnsi" w:cstheme="minorHAnsi"/>
          <w:color w:val="101820"/>
        </w:rPr>
        <w:t xml:space="preserve">, we occasionally receive calls directly from consumers or referrals from </w:t>
      </w:r>
      <w:r w:rsidR="004519BC" w:rsidRPr="00BF3884">
        <w:rPr>
          <w:rFonts w:asciiTheme="minorHAnsi" w:hAnsiTheme="minorHAnsi" w:cstheme="minorHAnsi"/>
          <w:color w:val="101820"/>
        </w:rPr>
        <w:t>legislators asking for constituent</w:t>
      </w:r>
      <w:r w:rsidR="009E06D7" w:rsidRPr="00BF3884">
        <w:rPr>
          <w:rFonts w:asciiTheme="minorHAnsi" w:hAnsiTheme="minorHAnsi" w:cstheme="minorHAnsi"/>
          <w:color w:val="101820"/>
        </w:rPr>
        <w:t xml:space="preserve"> </w:t>
      </w:r>
      <w:r w:rsidR="004519BC" w:rsidRPr="00BF3884">
        <w:rPr>
          <w:rFonts w:asciiTheme="minorHAnsi" w:hAnsiTheme="minorHAnsi" w:cstheme="minorHAnsi"/>
          <w:color w:val="101820"/>
        </w:rPr>
        <w:t xml:space="preserve">assistance. It is very common </w:t>
      </w:r>
      <w:r w:rsidR="00100ECD" w:rsidRPr="00BF3884">
        <w:rPr>
          <w:rFonts w:asciiTheme="minorHAnsi" w:hAnsiTheme="minorHAnsi" w:cstheme="minorHAnsi"/>
          <w:color w:val="101820"/>
        </w:rPr>
        <w:t xml:space="preserve">that a mortgage will not be able to close because of a missing discharge – usually from a lender that </w:t>
      </w:r>
      <w:r w:rsidR="005138B8" w:rsidRPr="00BF3884">
        <w:rPr>
          <w:rFonts w:asciiTheme="minorHAnsi" w:hAnsiTheme="minorHAnsi" w:cstheme="minorHAnsi"/>
          <w:color w:val="101820"/>
        </w:rPr>
        <w:t>has not been in business for several years.</w:t>
      </w:r>
      <w:r w:rsidR="007F26A1" w:rsidRPr="00BF3884">
        <w:rPr>
          <w:rFonts w:asciiTheme="minorHAnsi" w:hAnsiTheme="minorHAnsi" w:cstheme="minorHAnsi"/>
          <w:color w:val="101820"/>
        </w:rPr>
        <w:t xml:space="preserve"> </w:t>
      </w:r>
      <w:r w:rsidR="008D303D" w:rsidRPr="00BF3884">
        <w:rPr>
          <w:rFonts w:asciiTheme="minorHAnsi" w:hAnsiTheme="minorHAnsi" w:cstheme="minorHAnsi"/>
          <w:color w:val="101820"/>
        </w:rPr>
        <w:t xml:space="preserve">It is the title insurance company that will track down and obtain discharges </w:t>
      </w:r>
      <w:r w:rsidR="00A30AB9" w:rsidRPr="00BF3884">
        <w:rPr>
          <w:rFonts w:asciiTheme="minorHAnsi" w:hAnsiTheme="minorHAnsi" w:cstheme="minorHAnsi"/>
          <w:color w:val="101820"/>
        </w:rPr>
        <w:t>for</w:t>
      </w:r>
      <w:r w:rsidR="00C65C56" w:rsidRPr="00BF3884">
        <w:rPr>
          <w:rFonts w:asciiTheme="minorHAnsi" w:hAnsiTheme="minorHAnsi" w:cstheme="minorHAnsi"/>
          <w:color w:val="101820"/>
        </w:rPr>
        <w:t xml:space="preserve"> both the lender and borrower to have a clear title to their property. </w:t>
      </w:r>
    </w:p>
    <w:p w14:paraId="3C6BD535" w14:textId="77777777" w:rsidR="00BF3884" w:rsidRPr="003825BB" w:rsidRDefault="00BF3884" w:rsidP="00BF3884">
      <w:pPr>
        <w:shd w:val="clear" w:color="auto" w:fill="FFFFFF"/>
        <w:spacing w:line="240" w:lineRule="auto"/>
        <w:rPr>
          <w:rFonts w:asciiTheme="minorHAnsi" w:hAnsiTheme="minorHAnsi" w:cstheme="minorHAnsi"/>
          <w:color w:val="101820"/>
          <w:sz w:val="20"/>
          <w:szCs w:val="20"/>
        </w:rPr>
      </w:pPr>
    </w:p>
    <w:p w14:paraId="5B37A6A6" w14:textId="1B378812" w:rsidR="000D1554" w:rsidRPr="00020668" w:rsidRDefault="000D1554" w:rsidP="00BF3884">
      <w:pPr>
        <w:shd w:val="clear" w:color="auto" w:fill="FFFFFF"/>
        <w:spacing w:line="240" w:lineRule="auto"/>
        <w:rPr>
          <w:rFonts w:asciiTheme="minorHAnsi" w:hAnsiTheme="minorHAnsi" w:cstheme="minorHAnsi"/>
          <w:b/>
          <w:bCs/>
          <w:color w:val="101820"/>
        </w:rPr>
      </w:pPr>
      <w:r w:rsidRPr="00020668">
        <w:rPr>
          <w:rFonts w:asciiTheme="minorHAnsi" w:hAnsiTheme="minorHAnsi" w:cstheme="minorHAnsi"/>
          <w:b/>
          <w:bCs/>
          <w:color w:val="101820"/>
        </w:rPr>
        <w:t xml:space="preserve">Suggestions regarding the improvement of title insurance: </w:t>
      </w:r>
    </w:p>
    <w:p w14:paraId="399F9A08" w14:textId="77777777" w:rsidR="002038D0" w:rsidRDefault="004027C2" w:rsidP="00BF3884">
      <w:pPr>
        <w:spacing w:line="240" w:lineRule="auto"/>
        <w:rPr>
          <w:rFonts w:asciiTheme="minorHAnsi" w:hAnsiTheme="minorHAnsi" w:cstheme="minorHAnsi"/>
        </w:rPr>
      </w:pPr>
      <w:r w:rsidRPr="00BF3884">
        <w:rPr>
          <w:rFonts w:asciiTheme="minorHAnsi" w:hAnsiTheme="minorHAnsi" w:cstheme="minorHAnsi"/>
        </w:rPr>
        <w:t xml:space="preserve">Prior to the implementation of TRID, </w:t>
      </w:r>
      <w:r w:rsidR="00085B1A" w:rsidRPr="00BF3884">
        <w:rPr>
          <w:rFonts w:asciiTheme="minorHAnsi" w:hAnsiTheme="minorHAnsi" w:cstheme="minorHAnsi"/>
        </w:rPr>
        <w:t xml:space="preserve">a title insurance policy was disclosed on the Good Faith Estimate </w:t>
      </w:r>
      <w:r w:rsidR="00383767" w:rsidRPr="00BF3884">
        <w:rPr>
          <w:rFonts w:asciiTheme="minorHAnsi" w:hAnsiTheme="minorHAnsi" w:cstheme="minorHAnsi"/>
        </w:rPr>
        <w:t xml:space="preserve">as two separate categories – the amount that the attorney received and the amount that was maintained by the title insurance company. </w:t>
      </w:r>
      <w:r w:rsidR="002B14B8" w:rsidRPr="00BF3884">
        <w:rPr>
          <w:rFonts w:asciiTheme="minorHAnsi" w:hAnsiTheme="minorHAnsi" w:cstheme="minorHAnsi"/>
        </w:rPr>
        <w:t xml:space="preserve">Consumers could see what percentage of the title insurance fee </w:t>
      </w:r>
      <w:r w:rsidR="000859C7" w:rsidRPr="00BF3884">
        <w:rPr>
          <w:rFonts w:asciiTheme="minorHAnsi" w:hAnsiTheme="minorHAnsi" w:cstheme="minorHAnsi"/>
        </w:rPr>
        <w:t>was dispersed to wh</w:t>
      </w:r>
      <w:r w:rsidR="00CA14F4" w:rsidRPr="00BF3884">
        <w:rPr>
          <w:rFonts w:asciiTheme="minorHAnsi" w:hAnsiTheme="minorHAnsi" w:cstheme="minorHAnsi"/>
        </w:rPr>
        <w:t xml:space="preserve">ich </w:t>
      </w:r>
      <w:r w:rsidR="000859C7" w:rsidRPr="00BF3884">
        <w:rPr>
          <w:rFonts w:asciiTheme="minorHAnsi" w:hAnsiTheme="minorHAnsi" w:cstheme="minorHAnsi"/>
        </w:rPr>
        <w:t xml:space="preserve">party. Since TRID, this is no longer required. </w:t>
      </w:r>
      <w:r w:rsidR="008D3A41" w:rsidRPr="00BF3884">
        <w:rPr>
          <w:rFonts w:asciiTheme="minorHAnsi" w:hAnsiTheme="minorHAnsi" w:cstheme="minorHAnsi"/>
        </w:rPr>
        <w:t xml:space="preserve">If the intention of TRID was to provide </w:t>
      </w:r>
      <w:r w:rsidR="001E2F59" w:rsidRPr="00BF3884">
        <w:rPr>
          <w:rFonts w:asciiTheme="minorHAnsi" w:hAnsiTheme="minorHAnsi" w:cstheme="minorHAnsi"/>
        </w:rPr>
        <w:t>an easier</w:t>
      </w:r>
      <w:r w:rsidR="008D3A41" w:rsidRPr="00BF3884">
        <w:rPr>
          <w:rFonts w:asciiTheme="minorHAnsi" w:hAnsiTheme="minorHAnsi" w:cstheme="minorHAnsi"/>
        </w:rPr>
        <w:t xml:space="preserve"> understanding </w:t>
      </w:r>
      <w:r w:rsidR="00263C94" w:rsidRPr="00BF3884">
        <w:rPr>
          <w:rFonts w:asciiTheme="minorHAnsi" w:hAnsiTheme="minorHAnsi" w:cstheme="minorHAnsi"/>
        </w:rPr>
        <w:t>of closing</w:t>
      </w:r>
      <w:r w:rsidR="008D3A41" w:rsidRPr="00BF3884">
        <w:rPr>
          <w:rFonts w:asciiTheme="minorHAnsi" w:hAnsiTheme="minorHAnsi" w:cstheme="minorHAnsi"/>
        </w:rPr>
        <w:t xml:space="preserve"> costs, </w:t>
      </w:r>
      <w:r w:rsidR="002970B3" w:rsidRPr="00BF3884">
        <w:rPr>
          <w:rFonts w:asciiTheme="minorHAnsi" w:hAnsiTheme="minorHAnsi" w:cstheme="minorHAnsi"/>
        </w:rPr>
        <w:t>and the CFPB is stating that it is a “major fee”</w:t>
      </w:r>
      <w:r w:rsidR="00FD2979" w:rsidRPr="00BF3884">
        <w:rPr>
          <w:rFonts w:asciiTheme="minorHAnsi" w:hAnsiTheme="minorHAnsi" w:cstheme="minorHAnsi"/>
        </w:rPr>
        <w:t xml:space="preserve">, why was detailing the title insurance proceeds discontinued? </w:t>
      </w:r>
      <w:r w:rsidR="00077724" w:rsidRPr="00BF3884">
        <w:rPr>
          <w:rFonts w:asciiTheme="minorHAnsi" w:hAnsiTheme="minorHAnsi" w:cstheme="minorHAnsi"/>
        </w:rPr>
        <w:t xml:space="preserve">This would make </w:t>
      </w:r>
      <w:r w:rsidR="00DB716B" w:rsidRPr="00BF3884">
        <w:rPr>
          <w:rFonts w:asciiTheme="minorHAnsi" w:hAnsiTheme="minorHAnsi" w:cstheme="minorHAnsi"/>
        </w:rPr>
        <w:t xml:space="preserve">it easier for a consumer to shop </w:t>
      </w:r>
      <w:r w:rsidR="00263C94" w:rsidRPr="00BF3884">
        <w:rPr>
          <w:rFonts w:asciiTheme="minorHAnsi" w:hAnsiTheme="minorHAnsi" w:cstheme="minorHAnsi"/>
        </w:rPr>
        <w:t xml:space="preserve">or at least </w:t>
      </w:r>
      <w:r w:rsidR="00157087" w:rsidRPr="00BF3884">
        <w:rPr>
          <w:rFonts w:asciiTheme="minorHAnsi" w:hAnsiTheme="minorHAnsi" w:cstheme="minorHAnsi"/>
        </w:rPr>
        <w:t xml:space="preserve">better understand the title insurance cost. </w:t>
      </w:r>
      <w:r w:rsidR="00077724" w:rsidRPr="00BF3884">
        <w:rPr>
          <w:rFonts w:asciiTheme="minorHAnsi" w:hAnsiTheme="minorHAnsi" w:cstheme="minorHAnsi"/>
        </w:rPr>
        <w:t xml:space="preserve"> </w:t>
      </w:r>
      <w:r w:rsidR="001E2F59" w:rsidRPr="00BF3884">
        <w:rPr>
          <w:rFonts w:asciiTheme="minorHAnsi" w:hAnsiTheme="minorHAnsi" w:cstheme="minorHAnsi"/>
        </w:rPr>
        <w:t xml:space="preserve"> </w:t>
      </w:r>
      <w:r w:rsidR="00263C94" w:rsidRPr="00BF3884">
        <w:rPr>
          <w:rFonts w:asciiTheme="minorHAnsi" w:hAnsiTheme="minorHAnsi" w:cstheme="minorHAnsi"/>
        </w:rPr>
        <w:t xml:space="preserve">  </w:t>
      </w:r>
    </w:p>
    <w:p w14:paraId="7B58F639" w14:textId="77777777" w:rsidR="002038D0" w:rsidRPr="003825BB" w:rsidRDefault="002038D0" w:rsidP="00BF3884">
      <w:pPr>
        <w:spacing w:line="240" w:lineRule="auto"/>
        <w:rPr>
          <w:rFonts w:asciiTheme="minorHAnsi" w:hAnsiTheme="minorHAnsi" w:cstheme="minorHAnsi"/>
          <w:sz w:val="20"/>
          <w:szCs w:val="20"/>
        </w:rPr>
      </w:pPr>
    </w:p>
    <w:p w14:paraId="3440EC77" w14:textId="77777777" w:rsidR="002038D0" w:rsidRPr="009A2DA2" w:rsidRDefault="002038D0" w:rsidP="00BF3884">
      <w:pPr>
        <w:spacing w:line="240" w:lineRule="auto"/>
        <w:rPr>
          <w:rFonts w:asciiTheme="minorHAnsi" w:hAnsiTheme="minorHAnsi" w:cstheme="minorHAnsi"/>
          <w:b/>
          <w:bCs/>
        </w:rPr>
      </w:pPr>
      <w:r w:rsidRPr="009A2DA2">
        <w:rPr>
          <w:rFonts w:asciiTheme="minorHAnsi" w:hAnsiTheme="minorHAnsi" w:cstheme="minorHAnsi"/>
          <w:b/>
          <w:bCs/>
        </w:rPr>
        <w:t>Suggestions regarding the cost of appraisals:</w:t>
      </w:r>
    </w:p>
    <w:p w14:paraId="67632E0F" w14:textId="1A82D107" w:rsidR="00FD2979" w:rsidRPr="001122EE" w:rsidRDefault="00644D67" w:rsidP="00BF3884">
      <w:pPr>
        <w:spacing w:line="240" w:lineRule="auto"/>
        <w:rPr>
          <w:rFonts w:asciiTheme="minorHAnsi" w:hAnsiTheme="minorHAnsi" w:cstheme="minorHAnsi"/>
        </w:rPr>
      </w:pPr>
      <w:r w:rsidRPr="001122EE">
        <w:rPr>
          <w:rFonts w:asciiTheme="minorHAnsi" w:hAnsiTheme="minorHAnsi" w:cstheme="minorHAnsi"/>
        </w:rPr>
        <w:t xml:space="preserve">The </w:t>
      </w:r>
      <w:r w:rsidR="009C4FBA">
        <w:rPr>
          <w:rFonts w:asciiTheme="minorHAnsi" w:hAnsiTheme="minorHAnsi" w:cstheme="minorHAnsi"/>
        </w:rPr>
        <w:t xml:space="preserve">Association </w:t>
      </w:r>
      <w:r w:rsidRPr="001122EE">
        <w:rPr>
          <w:rFonts w:asciiTheme="minorHAnsi" w:hAnsiTheme="minorHAnsi" w:cstheme="minorHAnsi"/>
        </w:rPr>
        <w:t xml:space="preserve">would also like the Bureau to consider </w:t>
      </w:r>
      <w:r w:rsidR="001920A1" w:rsidRPr="001122EE">
        <w:rPr>
          <w:rFonts w:asciiTheme="minorHAnsi" w:hAnsiTheme="minorHAnsi" w:cstheme="minorHAnsi"/>
        </w:rPr>
        <w:t>itemizing the cost of an appraisal</w:t>
      </w:r>
      <w:r w:rsidR="00F2480F" w:rsidRPr="001122EE">
        <w:rPr>
          <w:rFonts w:asciiTheme="minorHAnsi" w:hAnsiTheme="minorHAnsi" w:cstheme="minorHAnsi"/>
        </w:rPr>
        <w:t xml:space="preserve">. </w:t>
      </w:r>
      <w:r w:rsidR="00875A9A" w:rsidRPr="001122EE">
        <w:rPr>
          <w:rFonts w:asciiTheme="minorHAnsi" w:hAnsiTheme="minorHAnsi" w:cstheme="minorHAnsi"/>
        </w:rPr>
        <w:t xml:space="preserve">The industry predominately orders appraisals through </w:t>
      </w:r>
      <w:r w:rsidR="00544961" w:rsidRPr="001122EE">
        <w:rPr>
          <w:rFonts w:asciiTheme="minorHAnsi" w:hAnsiTheme="minorHAnsi" w:cstheme="minorHAnsi"/>
        </w:rPr>
        <w:t>independent Appraisal Management Compan</w:t>
      </w:r>
      <w:r w:rsidR="00762E9C" w:rsidRPr="001122EE">
        <w:rPr>
          <w:rFonts w:asciiTheme="minorHAnsi" w:hAnsiTheme="minorHAnsi" w:cstheme="minorHAnsi"/>
        </w:rPr>
        <w:t>ies (AMCs)</w:t>
      </w:r>
      <w:r w:rsidR="00544961" w:rsidRPr="001122EE">
        <w:rPr>
          <w:rFonts w:asciiTheme="minorHAnsi" w:hAnsiTheme="minorHAnsi" w:cstheme="minorHAnsi"/>
        </w:rPr>
        <w:t>.</w:t>
      </w:r>
      <w:r w:rsidR="00762E9C" w:rsidRPr="001122EE">
        <w:rPr>
          <w:rFonts w:asciiTheme="minorHAnsi" w:hAnsiTheme="minorHAnsi" w:cstheme="minorHAnsi"/>
        </w:rPr>
        <w:t xml:space="preserve"> </w:t>
      </w:r>
      <w:r w:rsidR="00B516E7" w:rsidRPr="001122EE">
        <w:rPr>
          <w:rFonts w:asciiTheme="minorHAnsi" w:hAnsiTheme="minorHAnsi" w:cstheme="minorHAnsi"/>
        </w:rPr>
        <w:t>There is no required disclosure to separate the fee that i</w:t>
      </w:r>
      <w:r w:rsidR="00B00E44" w:rsidRPr="001122EE">
        <w:rPr>
          <w:rFonts w:asciiTheme="minorHAnsi" w:hAnsiTheme="minorHAnsi" w:cstheme="minorHAnsi"/>
        </w:rPr>
        <w:t>s</w:t>
      </w:r>
      <w:r w:rsidR="00B516E7" w:rsidRPr="001122EE">
        <w:rPr>
          <w:rFonts w:asciiTheme="minorHAnsi" w:hAnsiTheme="minorHAnsi" w:cstheme="minorHAnsi"/>
        </w:rPr>
        <w:t xml:space="preserve"> paid to the A</w:t>
      </w:r>
      <w:r w:rsidR="00B00E44" w:rsidRPr="001122EE">
        <w:rPr>
          <w:rFonts w:asciiTheme="minorHAnsi" w:hAnsiTheme="minorHAnsi" w:cstheme="minorHAnsi"/>
        </w:rPr>
        <w:t>MC versus the appraiser</w:t>
      </w:r>
      <w:r w:rsidR="0097308B">
        <w:rPr>
          <w:rFonts w:asciiTheme="minorHAnsi" w:hAnsiTheme="minorHAnsi" w:cstheme="minorHAnsi"/>
        </w:rPr>
        <w:t xml:space="preserve">. </w:t>
      </w:r>
      <w:r w:rsidR="002D3AC3" w:rsidRPr="001122EE">
        <w:rPr>
          <w:rFonts w:asciiTheme="minorHAnsi" w:hAnsiTheme="minorHAnsi" w:cstheme="minorHAnsi"/>
        </w:rPr>
        <w:t xml:space="preserve">We should ensure that regulated institutions are fully cognizant of the practices of AMCs they hire. </w:t>
      </w:r>
      <w:r w:rsidR="002A563A" w:rsidRPr="001122EE">
        <w:rPr>
          <w:rFonts w:asciiTheme="minorHAnsi" w:hAnsiTheme="minorHAnsi" w:cstheme="minorHAnsi"/>
        </w:rPr>
        <w:t xml:space="preserve">By </w:t>
      </w:r>
      <w:r w:rsidR="00AE4DB6" w:rsidRPr="001122EE">
        <w:rPr>
          <w:rFonts w:asciiTheme="minorHAnsi" w:hAnsiTheme="minorHAnsi" w:cstheme="minorHAnsi"/>
        </w:rPr>
        <w:t xml:space="preserve">disclosing the </w:t>
      </w:r>
      <w:r w:rsidR="00643E46" w:rsidRPr="001122EE">
        <w:rPr>
          <w:rFonts w:asciiTheme="minorHAnsi" w:hAnsiTheme="minorHAnsi" w:cstheme="minorHAnsi"/>
        </w:rPr>
        <w:t xml:space="preserve">appraisal fee breakdown on the mortgage disclosures, </w:t>
      </w:r>
      <w:r w:rsidR="004759EF" w:rsidRPr="001122EE">
        <w:rPr>
          <w:rFonts w:asciiTheme="minorHAnsi" w:hAnsiTheme="minorHAnsi" w:cstheme="minorHAnsi"/>
        </w:rPr>
        <w:t xml:space="preserve">we believe that it will be easier for an institution to monitor </w:t>
      </w:r>
      <w:r w:rsidR="000E6604" w:rsidRPr="001122EE">
        <w:rPr>
          <w:rFonts w:asciiTheme="minorHAnsi" w:hAnsiTheme="minorHAnsi" w:cstheme="minorHAnsi"/>
        </w:rPr>
        <w:t xml:space="preserve">the practice of appraisal selection and track the amount that </w:t>
      </w:r>
      <w:r w:rsidR="007C02FE" w:rsidRPr="001122EE">
        <w:rPr>
          <w:rFonts w:asciiTheme="minorHAnsi" w:hAnsiTheme="minorHAnsi" w:cstheme="minorHAnsi"/>
        </w:rPr>
        <w:t xml:space="preserve">the borrower-paid fee goes towards the appraisal. </w:t>
      </w:r>
    </w:p>
    <w:p w14:paraId="41DBE6C0" w14:textId="77777777" w:rsidR="00020668" w:rsidRPr="003825BB" w:rsidRDefault="00020668" w:rsidP="00BF3884">
      <w:pPr>
        <w:spacing w:line="240" w:lineRule="auto"/>
        <w:rPr>
          <w:rFonts w:asciiTheme="minorHAnsi" w:hAnsiTheme="minorHAnsi" w:cstheme="minorHAnsi"/>
          <w:sz w:val="20"/>
          <w:szCs w:val="20"/>
        </w:rPr>
      </w:pPr>
    </w:p>
    <w:p w14:paraId="53DD868E" w14:textId="77777777" w:rsidR="00CC5600" w:rsidRDefault="00CC5600" w:rsidP="00CC5600">
      <w:pPr>
        <w:rPr>
          <w:rFonts w:ascii="Calibri" w:hAnsi="Calibri" w:cs="Calibri"/>
          <w:b/>
          <w:bCs/>
        </w:rPr>
      </w:pPr>
      <w:r w:rsidRPr="00B65E23">
        <w:rPr>
          <w:rFonts w:ascii="Calibri" w:hAnsi="Calibri" w:cs="Calibri"/>
          <w:b/>
          <w:bCs/>
        </w:rPr>
        <w:t>Are there particular fees that are concerning or cause hardships for consumers?</w:t>
      </w:r>
    </w:p>
    <w:p w14:paraId="747FD019" w14:textId="77777777" w:rsidR="00CC5600" w:rsidRDefault="00CC5600" w:rsidP="00CC5600">
      <w:pPr>
        <w:spacing w:line="240" w:lineRule="auto"/>
        <w:rPr>
          <w:rFonts w:ascii="Calibri" w:hAnsi="Calibri" w:cs="Calibri"/>
        </w:rPr>
      </w:pPr>
      <w:r w:rsidRPr="00B46D07">
        <w:rPr>
          <w:rFonts w:ascii="Calibri" w:hAnsi="Calibri" w:cs="Calibri"/>
        </w:rPr>
        <w:t xml:space="preserve">The cost of both homeowners’ insurance, flood insurance and condominium insurance are prohibitive.   </w:t>
      </w:r>
    </w:p>
    <w:p w14:paraId="665F391B" w14:textId="77777777" w:rsidR="00CC5600" w:rsidRPr="003825BB" w:rsidRDefault="00CC5600" w:rsidP="00CC5600">
      <w:pPr>
        <w:spacing w:line="240" w:lineRule="auto"/>
        <w:rPr>
          <w:rFonts w:ascii="Calibri" w:hAnsi="Calibri" w:cs="Calibri"/>
          <w:sz w:val="20"/>
          <w:szCs w:val="20"/>
        </w:rPr>
      </w:pPr>
    </w:p>
    <w:p w14:paraId="6E1E9B8B" w14:textId="77777777" w:rsidR="00CC5600" w:rsidRPr="006B5198" w:rsidRDefault="00CC5600" w:rsidP="00CC5600">
      <w:pPr>
        <w:pStyle w:val="ListParagraph"/>
        <w:numPr>
          <w:ilvl w:val="0"/>
          <w:numId w:val="9"/>
        </w:numPr>
        <w:spacing w:line="240" w:lineRule="auto"/>
        <w:rPr>
          <w:rFonts w:asciiTheme="minorHAnsi" w:hAnsiTheme="minorHAnsi" w:cstheme="minorHAnsi"/>
          <w:color w:val="0A0A0A"/>
          <w:spacing w:val="-7"/>
          <w:shd w:val="clear" w:color="auto" w:fill="FEFEFE"/>
        </w:rPr>
      </w:pPr>
      <w:r w:rsidRPr="006B5198">
        <w:rPr>
          <w:rFonts w:asciiTheme="minorHAnsi" w:hAnsiTheme="minorHAnsi" w:cstheme="minorHAnsi"/>
        </w:rPr>
        <w:t xml:space="preserve">According to a </w:t>
      </w:r>
      <w:hyperlink r:id="rId16" w:history="1">
        <w:r w:rsidRPr="006B5198">
          <w:rPr>
            <w:rStyle w:val="Hyperlink"/>
            <w:rFonts w:asciiTheme="minorHAnsi" w:hAnsiTheme="minorHAnsi" w:cstheme="minorHAnsi"/>
          </w:rPr>
          <w:t>recent report</w:t>
        </w:r>
      </w:hyperlink>
      <w:r w:rsidRPr="006B5198">
        <w:rPr>
          <w:rFonts w:asciiTheme="minorHAnsi" w:hAnsiTheme="minorHAnsi" w:cstheme="minorHAnsi"/>
        </w:rPr>
        <w:t xml:space="preserve"> in S&amp;P Global, c</w:t>
      </w:r>
      <w:r w:rsidRPr="006B5198">
        <w:rPr>
          <w:rFonts w:asciiTheme="minorHAnsi" w:hAnsiTheme="minorHAnsi" w:cstheme="minorHAnsi"/>
          <w:color w:val="0A0A0A"/>
          <w:spacing w:val="-7"/>
          <w:shd w:val="clear" w:color="auto" w:fill="FEFEFE"/>
        </w:rPr>
        <w:t>onsecutive higher-than-average increases in homeowners insurance rates have pushed the countrywide cumulative increase since 2022 close to 20%. Between 2018 and 2021, the countrywide yearly average rate change ranged from 2.5% to 3.8%, but this jumped to 6.2% in 2022 and 11.3% in 2023. </w:t>
      </w:r>
    </w:p>
    <w:p w14:paraId="2742226D" w14:textId="77777777" w:rsidR="00CC5600" w:rsidRPr="003825BB" w:rsidRDefault="00CC5600" w:rsidP="00CC5600">
      <w:pPr>
        <w:spacing w:line="240" w:lineRule="auto"/>
        <w:rPr>
          <w:rFonts w:asciiTheme="minorHAnsi" w:hAnsiTheme="minorHAnsi" w:cstheme="minorHAnsi"/>
          <w:color w:val="0A0A0A"/>
          <w:spacing w:val="-7"/>
          <w:sz w:val="20"/>
          <w:szCs w:val="20"/>
          <w:shd w:val="clear" w:color="auto" w:fill="FEFEFE"/>
        </w:rPr>
      </w:pPr>
    </w:p>
    <w:p w14:paraId="2F2F7E0D" w14:textId="77777777" w:rsidR="00CC5600" w:rsidRPr="006B5198" w:rsidRDefault="00CC5600" w:rsidP="00CC5600">
      <w:pPr>
        <w:pStyle w:val="ListParagraph"/>
        <w:numPr>
          <w:ilvl w:val="0"/>
          <w:numId w:val="9"/>
        </w:numPr>
        <w:spacing w:line="240" w:lineRule="auto"/>
        <w:rPr>
          <w:rFonts w:asciiTheme="minorHAnsi" w:hAnsiTheme="minorHAnsi" w:cstheme="minorHAnsi"/>
          <w:color w:val="000000"/>
          <w:shd w:val="clear" w:color="auto" w:fill="FFFFFF"/>
        </w:rPr>
      </w:pPr>
      <w:r w:rsidRPr="006B5198">
        <w:rPr>
          <w:rFonts w:asciiTheme="minorHAnsi" w:hAnsiTheme="minorHAnsi" w:cstheme="minorHAnsi"/>
          <w:color w:val="0A0A0A"/>
          <w:spacing w:val="-7"/>
          <w:shd w:val="clear" w:color="auto" w:fill="FEFEFE"/>
        </w:rPr>
        <w:t xml:space="preserve">According to </w:t>
      </w:r>
      <w:hyperlink r:id="rId17" w:history="1">
        <w:r w:rsidRPr="006B5198">
          <w:rPr>
            <w:rStyle w:val="Hyperlink"/>
            <w:rFonts w:asciiTheme="minorHAnsi" w:hAnsiTheme="minorHAnsi" w:cstheme="minorHAnsi"/>
            <w:spacing w:val="-7"/>
            <w:shd w:val="clear" w:color="auto" w:fill="FEFEFE"/>
          </w:rPr>
          <w:t>research</w:t>
        </w:r>
      </w:hyperlink>
      <w:r w:rsidRPr="006B5198">
        <w:rPr>
          <w:rFonts w:asciiTheme="minorHAnsi" w:hAnsiTheme="minorHAnsi" w:cstheme="minorHAnsi"/>
          <w:color w:val="0A0A0A"/>
          <w:spacing w:val="-7"/>
          <w:shd w:val="clear" w:color="auto" w:fill="FEFEFE"/>
        </w:rPr>
        <w:t xml:space="preserve"> by the National Bureau of Economic Research, there was a sharp </w:t>
      </w:r>
      <w:r w:rsidRPr="006B5198">
        <w:rPr>
          <w:rFonts w:asciiTheme="minorHAnsi" w:hAnsiTheme="minorHAnsi" w:cstheme="minorHAnsi"/>
          <w:color w:val="000000"/>
          <w:shd w:val="clear" w:color="auto" w:fill="FFFFFF"/>
        </w:rPr>
        <w:t xml:space="preserve">33% increase in average premiums from 2020 to 2023 (13% in real terms) that is highly uneven across geographies. </w:t>
      </w:r>
    </w:p>
    <w:p w14:paraId="4C037304" w14:textId="77777777" w:rsidR="00CC5600" w:rsidRPr="003825BB" w:rsidRDefault="00CC5600" w:rsidP="00CC5600">
      <w:pPr>
        <w:spacing w:line="240" w:lineRule="auto"/>
        <w:rPr>
          <w:rFonts w:asciiTheme="minorHAnsi" w:hAnsiTheme="minorHAnsi" w:cstheme="minorHAnsi"/>
          <w:color w:val="000000"/>
          <w:sz w:val="20"/>
          <w:szCs w:val="20"/>
          <w:shd w:val="clear" w:color="auto" w:fill="FFFFFF"/>
        </w:rPr>
      </w:pPr>
    </w:p>
    <w:p w14:paraId="3B60466E" w14:textId="77777777" w:rsidR="00CC5600" w:rsidRPr="006B5198" w:rsidRDefault="00CC5600" w:rsidP="00CC5600">
      <w:pPr>
        <w:pStyle w:val="continue-read-break"/>
        <w:numPr>
          <w:ilvl w:val="0"/>
          <w:numId w:val="9"/>
        </w:numPr>
        <w:shd w:val="clear" w:color="auto" w:fill="FFFFFF"/>
        <w:spacing w:before="0" w:beforeAutospacing="0" w:after="0" w:afterAutospacing="0"/>
        <w:rPr>
          <w:rFonts w:asciiTheme="minorHAnsi" w:hAnsiTheme="minorHAnsi" w:cstheme="minorHAnsi"/>
          <w:color w:val="2B2B2B"/>
        </w:rPr>
      </w:pPr>
      <w:r w:rsidRPr="006B5198">
        <w:rPr>
          <w:rFonts w:asciiTheme="minorHAnsi" w:hAnsiTheme="minorHAnsi" w:cstheme="minorHAnsi"/>
          <w:color w:val="000000"/>
          <w:shd w:val="clear" w:color="auto" w:fill="FFFFFF"/>
        </w:rPr>
        <w:t xml:space="preserve">According to a Wall Street Journal </w:t>
      </w:r>
      <w:hyperlink r:id="rId18" w:history="1">
        <w:r w:rsidRPr="006B5198">
          <w:rPr>
            <w:rStyle w:val="Hyperlink"/>
            <w:rFonts w:asciiTheme="minorHAnsi" w:hAnsiTheme="minorHAnsi" w:cstheme="minorHAnsi"/>
            <w:shd w:val="clear" w:color="auto" w:fill="FFFFFF"/>
          </w:rPr>
          <w:t>article</w:t>
        </w:r>
      </w:hyperlink>
      <w:r w:rsidRPr="006B5198">
        <w:rPr>
          <w:rFonts w:asciiTheme="minorHAnsi" w:hAnsiTheme="minorHAnsi" w:cstheme="minorHAnsi"/>
          <w:color w:val="000000"/>
          <w:shd w:val="clear" w:color="auto" w:fill="FFFFFF"/>
        </w:rPr>
        <w:t>, c</w:t>
      </w:r>
      <w:r w:rsidRPr="006B5198">
        <w:rPr>
          <w:rFonts w:asciiTheme="minorHAnsi" w:hAnsiTheme="minorHAnsi" w:cstheme="minorHAnsi"/>
          <w:color w:val="2B2B2B"/>
        </w:rPr>
        <w:t xml:space="preserve">ondo dues rose 20% between 2022 and 2024, according to an analysis of 1,800 associations in 44 states by real-estate tech company </w:t>
      </w:r>
      <w:proofErr w:type="spellStart"/>
      <w:r w:rsidRPr="006B5198">
        <w:rPr>
          <w:rFonts w:asciiTheme="minorHAnsi" w:hAnsiTheme="minorHAnsi" w:cstheme="minorHAnsi"/>
          <w:color w:val="2B2B2B"/>
        </w:rPr>
        <w:t>Rexera</w:t>
      </w:r>
      <w:proofErr w:type="spellEnd"/>
      <w:r w:rsidRPr="006B5198">
        <w:rPr>
          <w:rFonts w:asciiTheme="minorHAnsi" w:hAnsiTheme="minorHAnsi" w:cstheme="minorHAnsi"/>
          <w:color w:val="2B2B2B"/>
        </w:rPr>
        <w:t>. In a 2023 survey of community associations, 91% said their insurance premium increased at the last renewal. More than half of communities surveyed paid for the increase by raising annual dues or imposing a special assessment, according to the Foundation for Community Association Research</w:t>
      </w:r>
    </w:p>
    <w:p w14:paraId="777ACBF7" w14:textId="77777777" w:rsidR="00CC5600" w:rsidRPr="003825BB" w:rsidRDefault="00CC5600" w:rsidP="00CC5600">
      <w:pPr>
        <w:spacing w:line="240" w:lineRule="auto"/>
        <w:rPr>
          <w:rFonts w:ascii="Arial" w:hAnsi="Arial" w:cs="Arial"/>
          <w:color w:val="0A0A0A"/>
          <w:spacing w:val="-7"/>
          <w:sz w:val="20"/>
          <w:szCs w:val="20"/>
          <w:shd w:val="clear" w:color="auto" w:fill="FEFEFE"/>
        </w:rPr>
      </w:pPr>
    </w:p>
    <w:p w14:paraId="3CEFB30C" w14:textId="77777777" w:rsidR="00CC5600" w:rsidRPr="00900FA8" w:rsidRDefault="00CC5600" w:rsidP="00CC5600">
      <w:pPr>
        <w:spacing w:line="240" w:lineRule="auto"/>
        <w:rPr>
          <w:rFonts w:asciiTheme="minorHAnsi" w:hAnsiTheme="minorHAnsi" w:cstheme="minorHAnsi"/>
          <w:color w:val="000000"/>
        </w:rPr>
      </w:pPr>
      <w:r w:rsidRPr="00900FA8">
        <w:rPr>
          <w:rFonts w:asciiTheme="minorHAnsi" w:hAnsiTheme="minorHAnsi" w:cstheme="minorHAnsi"/>
          <w:color w:val="000000"/>
        </w:rPr>
        <w:t xml:space="preserve">Potential Impact – REALTOR compensation: </w:t>
      </w:r>
    </w:p>
    <w:p w14:paraId="52B4B7FD" w14:textId="77777777" w:rsidR="00CC5600" w:rsidRDefault="00CC5600" w:rsidP="00CC5600">
      <w:pPr>
        <w:spacing w:line="240" w:lineRule="auto"/>
        <w:rPr>
          <w:rFonts w:asciiTheme="minorHAnsi" w:hAnsiTheme="minorHAnsi" w:cstheme="minorHAnsi"/>
          <w:color w:val="333333"/>
          <w:spacing w:val="5"/>
          <w:shd w:val="clear" w:color="auto" w:fill="FFFFFF"/>
        </w:rPr>
      </w:pPr>
      <w:r w:rsidRPr="00900FA8">
        <w:rPr>
          <w:rFonts w:asciiTheme="minorHAnsi" w:hAnsiTheme="minorHAnsi" w:cstheme="minorHAnsi"/>
          <w:color w:val="333333"/>
          <w:spacing w:val="5"/>
          <w:shd w:val="clear" w:color="auto" w:fill="FFFFFF"/>
        </w:rPr>
        <w:t>The National Association of Realtors lawsuit that was settled earlier in the year may potentially create an additional cost for homebuyers. Many sellers may opt not to pay buyers' agents in the future. In that case, buyers will have to pay their own agent out of pocket, on top of a down payment and other closing costs.</w:t>
      </w:r>
    </w:p>
    <w:p w14:paraId="043B3D50" w14:textId="77777777" w:rsidR="00D63D4E" w:rsidRPr="00DD6268" w:rsidRDefault="00D63D4E" w:rsidP="00807FF0">
      <w:pPr>
        <w:spacing w:line="240" w:lineRule="auto"/>
        <w:rPr>
          <w:rFonts w:asciiTheme="minorHAnsi" w:hAnsiTheme="minorHAnsi" w:cstheme="minorHAnsi"/>
          <w:b/>
          <w:bCs/>
        </w:rPr>
      </w:pPr>
      <w:r w:rsidRPr="00DD6268">
        <w:rPr>
          <w:rFonts w:asciiTheme="minorHAnsi" w:hAnsiTheme="minorHAnsi" w:cstheme="minorHAnsi"/>
          <w:b/>
          <w:bCs/>
        </w:rPr>
        <w:t xml:space="preserve">Provide data or evidence on the degree to which consumers compare closing costs across lenders. </w:t>
      </w:r>
    </w:p>
    <w:p w14:paraId="1183C880" w14:textId="74A2BEAC" w:rsidR="00E90960" w:rsidRPr="00DD6268" w:rsidRDefault="00E90960" w:rsidP="00807FF0">
      <w:pPr>
        <w:spacing w:line="240" w:lineRule="auto"/>
        <w:rPr>
          <w:rFonts w:asciiTheme="minorHAnsi" w:hAnsiTheme="minorHAnsi" w:cstheme="minorHAnsi"/>
        </w:rPr>
      </w:pPr>
      <w:r w:rsidRPr="00DD6268">
        <w:rPr>
          <w:rFonts w:asciiTheme="minorHAnsi" w:hAnsiTheme="minorHAnsi" w:cstheme="minorHAnsi"/>
        </w:rPr>
        <w:lastRenderedPageBreak/>
        <w:t xml:space="preserve">Although </w:t>
      </w:r>
      <w:r w:rsidR="00E57AA2" w:rsidRPr="00DD6268">
        <w:rPr>
          <w:rFonts w:asciiTheme="minorHAnsi" w:hAnsiTheme="minorHAnsi" w:cstheme="minorHAnsi"/>
        </w:rPr>
        <w:t xml:space="preserve">we </w:t>
      </w:r>
      <w:r w:rsidRPr="00DD6268">
        <w:rPr>
          <w:rFonts w:asciiTheme="minorHAnsi" w:hAnsiTheme="minorHAnsi" w:cstheme="minorHAnsi"/>
        </w:rPr>
        <w:t xml:space="preserve">cannot specify </w:t>
      </w:r>
      <w:r w:rsidR="000B126F" w:rsidRPr="00DD6268">
        <w:rPr>
          <w:rFonts w:asciiTheme="minorHAnsi" w:hAnsiTheme="minorHAnsi" w:cstheme="minorHAnsi"/>
        </w:rPr>
        <w:t>data or evidence to the degree to which consumers co</w:t>
      </w:r>
      <w:r w:rsidR="00997377" w:rsidRPr="00DD6268">
        <w:rPr>
          <w:rFonts w:asciiTheme="minorHAnsi" w:hAnsiTheme="minorHAnsi" w:cstheme="minorHAnsi"/>
        </w:rPr>
        <w:t>m</w:t>
      </w:r>
      <w:r w:rsidR="000B126F" w:rsidRPr="00DD6268">
        <w:rPr>
          <w:rFonts w:asciiTheme="minorHAnsi" w:hAnsiTheme="minorHAnsi" w:cstheme="minorHAnsi"/>
        </w:rPr>
        <w:t xml:space="preserve">pare closing costs, we would like to </w:t>
      </w:r>
      <w:r w:rsidR="00997377" w:rsidRPr="00DD6268">
        <w:rPr>
          <w:rFonts w:asciiTheme="minorHAnsi" w:hAnsiTheme="minorHAnsi" w:cstheme="minorHAnsi"/>
        </w:rPr>
        <w:t xml:space="preserve">provide you with examples </w:t>
      </w:r>
      <w:r w:rsidR="00147DC9" w:rsidRPr="00DD6268">
        <w:rPr>
          <w:rFonts w:asciiTheme="minorHAnsi" w:hAnsiTheme="minorHAnsi" w:cstheme="minorHAnsi"/>
        </w:rPr>
        <w:t xml:space="preserve">of lender’s </w:t>
      </w:r>
      <w:r w:rsidR="009B5C50" w:rsidRPr="00DD6268">
        <w:rPr>
          <w:rFonts w:asciiTheme="minorHAnsi" w:hAnsiTheme="minorHAnsi" w:cstheme="minorHAnsi"/>
        </w:rPr>
        <w:t xml:space="preserve">closing cost estimates which we feel are confusing to the consumer. </w:t>
      </w:r>
      <w:r w:rsidR="00147DC9" w:rsidRPr="00DD6268">
        <w:rPr>
          <w:rFonts w:asciiTheme="minorHAnsi" w:hAnsiTheme="minorHAnsi" w:cstheme="minorHAnsi"/>
        </w:rPr>
        <w:t xml:space="preserve"> </w:t>
      </w:r>
      <w:r w:rsidR="00997377" w:rsidRPr="00DD6268">
        <w:rPr>
          <w:rFonts w:asciiTheme="minorHAnsi" w:hAnsiTheme="minorHAnsi" w:cstheme="minorHAnsi"/>
        </w:rPr>
        <w:t xml:space="preserve"> </w:t>
      </w:r>
      <w:r w:rsidRPr="00DD6268">
        <w:rPr>
          <w:rFonts w:asciiTheme="minorHAnsi" w:hAnsiTheme="minorHAnsi" w:cstheme="minorHAnsi"/>
        </w:rPr>
        <w:t xml:space="preserve"> </w:t>
      </w:r>
    </w:p>
    <w:p w14:paraId="6779EFD4" w14:textId="77777777" w:rsidR="00926E0F" w:rsidRPr="00EB316E" w:rsidRDefault="00926E0F" w:rsidP="00D63D4E">
      <w:pPr>
        <w:rPr>
          <w:rFonts w:asciiTheme="minorHAnsi" w:hAnsiTheme="minorHAnsi" w:cstheme="minorHAnsi"/>
          <w:sz w:val="20"/>
          <w:szCs w:val="20"/>
        </w:rPr>
      </w:pPr>
    </w:p>
    <w:p w14:paraId="436A914C" w14:textId="01E15790" w:rsidR="002603A8" w:rsidRPr="00DD6268" w:rsidRDefault="00B941B0" w:rsidP="002603A8">
      <w:pPr>
        <w:spacing w:line="240" w:lineRule="auto"/>
        <w:rPr>
          <w:rFonts w:asciiTheme="minorHAnsi" w:hAnsiTheme="minorHAnsi" w:cstheme="minorHAnsi"/>
          <w:color w:val="000000"/>
        </w:rPr>
      </w:pPr>
      <w:r w:rsidRPr="00DD6268">
        <w:rPr>
          <w:rFonts w:asciiTheme="minorHAnsi" w:hAnsiTheme="minorHAnsi" w:cstheme="minorHAnsi"/>
          <w:color w:val="000000"/>
        </w:rPr>
        <w:t xml:space="preserve">Our members report that </w:t>
      </w:r>
      <w:r w:rsidR="002603A8" w:rsidRPr="00DD6268">
        <w:rPr>
          <w:rFonts w:asciiTheme="minorHAnsi" w:hAnsiTheme="minorHAnsi" w:cstheme="minorHAnsi"/>
          <w:color w:val="000000"/>
        </w:rPr>
        <w:t xml:space="preserve">consumers will bring in </w:t>
      </w:r>
      <w:r w:rsidRPr="00DD6268">
        <w:rPr>
          <w:rFonts w:asciiTheme="minorHAnsi" w:hAnsiTheme="minorHAnsi" w:cstheme="minorHAnsi"/>
          <w:color w:val="000000"/>
        </w:rPr>
        <w:t xml:space="preserve">Loan Estimates from competing lenders </w:t>
      </w:r>
      <w:r w:rsidR="002603A8" w:rsidRPr="00DD6268">
        <w:rPr>
          <w:rFonts w:asciiTheme="minorHAnsi" w:hAnsiTheme="minorHAnsi" w:cstheme="minorHAnsi"/>
          <w:color w:val="000000"/>
        </w:rPr>
        <w:t xml:space="preserve">showing </w:t>
      </w:r>
      <w:r w:rsidRPr="00DD6268">
        <w:rPr>
          <w:rFonts w:asciiTheme="minorHAnsi" w:hAnsiTheme="minorHAnsi" w:cstheme="minorHAnsi"/>
          <w:color w:val="000000"/>
        </w:rPr>
        <w:t xml:space="preserve">lower interest rates but paying points combined with a </w:t>
      </w:r>
      <w:r w:rsidR="002603A8" w:rsidRPr="00DD6268">
        <w:rPr>
          <w:rFonts w:asciiTheme="minorHAnsi" w:hAnsiTheme="minorHAnsi" w:cstheme="minorHAnsi"/>
          <w:color w:val="000000"/>
        </w:rPr>
        <w:t>lender’s</w:t>
      </w:r>
      <w:r w:rsidRPr="00DD6268">
        <w:rPr>
          <w:rFonts w:asciiTheme="minorHAnsi" w:hAnsiTheme="minorHAnsi" w:cstheme="minorHAnsi"/>
          <w:color w:val="000000"/>
        </w:rPr>
        <w:t xml:space="preserve"> credit. The consumer can easily see the lower rate but often do</w:t>
      </w:r>
      <w:r w:rsidR="00C61873">
        <w:rPr>
          <w:rFonts w:asciiTheme="minorHAnsi" w:hAnsiTheme="minorHAnsi" w:cstheme="minorHAnsi"/>
          <w:color w:val="000000"/>
        </w:rPr>
        <w:t xml:space="preserve">es </w:t>
      </w:r>
      <w:r w:rsidR="002603A8" w:rsidRPr="00DD6268">
        <w:rPr>
          <w:rFonts w:asciiTheme="minorHAnsi" w:hAnsiTheme="minorHAnsi" w:cstheme="minorHAnsi"/>
          <w:color w:val="000000"/>
        </w:rPr>
        <w:t xml:space="preserve">not understand the benefits or disadvantages to paying points. A suggestion for the CFPB to consider is adding a checkbox onto Page 1 of the Loan Estimate indicating if this interest rate was with points or no points. This may assist consumers to understand that there is a fee associated with the quoted interest rate. </w:t>
      </w:r>
    </w:p>
    <w:p w14:paraId="28A7AE35" w14:textId="77777777" w:rsidR="002603A8" w:rsidRPr="00EB316E" w:rsidRDefault="002603A8" w:rsidP="002603A8">
      <w:pPr>
        <w:spacing w:line="240" w:lineRule="auto"/>
        <w:rPr>
          <w:rFonts w:asciiTheme="minorHAnsi" w:hAnsiTheme="minorHAnsi" w:cstheme="minorHAnsi"/>
          <w:color w:val="000000"/>
          <w:sz w:val="20"/>
          <w:szCs w:val="20"/>
          <w:highlight w:val="yellow"/>
        </w:rPr>
      </w:pPr>
    </w:p>
    <w:p w14:paraId="0FD28A6D" w14:textId="1F5CC99C" w:rsidR="002603A8" w:rsidRPr="00807FF0" w:rsidRDefault="002603A8" w:rsidP="002603A8">
      <w:pPr>
        <w:spacing w:line="240" w:lineRule="auto"/>
        <w:rPr>
          <w:rFonts w:asciiTheme="minorHAnsi" w:hAnsiTheme="minorHAnsi" w:cstheme="minorHAnsi"/>
          <w:b/>
          <w:bCs/>
        </w:rPr>
      </w:pPr>
      <w:r w:rsidRPr="00807FF0">
        <w:rPr>
          <w:rFonts w:asciiTheme="minorHAnsi" w:hAnsiTheme="minorHAnsi" w:cstheme="minorHAnsi"/>
          <w:b/>
          <w:bCs/>
        </w:rPr>
        <w:t>How are fees currently set? Who profits from the various fees? Who benefits from the service provided? What leverage or oversight do lenders have over third-party costs that are passed onto the consumer?</w:t>
      </w:r>
    </w:p>
    <w:p w14:paraId="7BCB95BF" w14:textId="387BB2E9" w:rsidR="002603A8" w:rsidRPr="002603A8" w:rsidRDefault="002603A8" w:rsidP="002603A8">
      <w:pPr>
        <w:spacing w:line="240" w:lineRule="auto"/>
        <w:rPr>
          <w:rFonts w:asciiTheme="minorHAnsi" w:hAnsiTheme="minorHAnsi" w:cstheme="minorHAnsi"/>
          <w:color w:val="000000"/>
        </w:rPr>
      </w:pPr>
      <w:r w:rsidRPr="00807FF0">
        <w:rPr>
          <w:rFonts w:asciiTheme="minorHAnsi" w:hAnsiTheme="minorHAnsi" w:cstheme="minorHAnsi"/>
          <w:color w:val="000000"/>
        </w:rPr>
        <w:t xml:space="preserve">As addressed throughout this response, </w:t>
      </w:r>
      <w:r w:rsidR="00FB1B53" w:rsidRPr="00807FF0">
        <w:rPr>
          <w:rFonts w:asciiTheme="minorHAnsi" w:hAnsiTheme="minorHAnsi" w:cstheme="minorHAnsi"/>
          <w:color w:val="000000"/>
        </w:rPr>
        <w:t xml:space="preserve">the majority of the closing costs are set by third-party providers from credit bureaus, title insurance, appraisers, insurance companies and municipalities to name a few. Any profit would be realized by those providers. The third-party services that are itemized on the Loan Estimate are required to </w:t>
      </w:r>
      <w:r w:rsidRPr="00807FF0">
        <w:rPr>
          <w:rFonts w:asciiTheme="minorHAnsi" w:hAnsiTheme="minorHAnsi" w:cstheme="minorHAnsi"/>
          <w:color w:val="000000"/>
        </w:rPr>
        <w:t>obtain the mortgage and therefore result in homeownership.</w:t>
      </w:r>
      <w:r w:rsidR="006145A9">
        <w:rPr>
          <w:rFonts w:asciiTheme="minorHAnsi" w:hAnsiTheme="minorHAnsi" w:cstheme="minorHAnsi"/>
          <w:color w:val="000000"/>
        </w:rPr>
        <w:t xml:space="preserve"> </w:t>
      </w:r>
      <w:r w:rsidR="006145A9" w:rsidRPr="006145A9">
        <w:rPr>
          <w:rFonts w:asciiTheme="minorHAnsi" w:hAnsiTheme="minorHAnsi" w:cstheme="minorHAnsi"/>
          <w:color w:val="000000"/>
        </w:rPr>
        <w:t>Often, when the consumer selects their own closing agent and/or closing attorney, those fees are often not available at the time of Loan Estimate because the consumer has not selected the provider at that time.  Any additional title &amp; settlement fees that are added to the Closing Disclosure are deemed the consumer's selection and reflected directly on the Closing Disclosure</w:t>
      </w:r>
    </w:p>
    <w:p w14:paraId="233095C0" w14:textId="77777777" w:rsidR="002603A8" w:rsidRPr="00EB316E" w:rsidRDefault="002603A8" w:rsidP="002603A8">
      <w:pPr>
        <w:spacing w:line="240" w:lineRule="auto"/>
        <w:rPr>
          <w:rFonts w:asciiTheme="minorHAnsi" w:hAnsiTheme="minorHAnsi" w:cstheme="minorHAnsi"/>
          <w:b/>
          <w:bCs/>
          <w:color w:val="000000"/>
          <w:sz w:val="20"/>
          <w:szCs w:val="20"/>
        </w:rPr>
      </w:pPr>
    </w:p>
    <w:p w14:paraId="7281156F" w14:textId="1766AA97" w:rsidR="00D42139" w:rsidRPr="00D42139" w:rsidRDefault="00D42139" w:rsidP="00DE3BB2">
      <w:pPr>
        <w:spacing w:line="240" w:lineRule="auto"/>
        <w:rPr>
          <w:rFonts w:asciiTheme="minorHAnsi" w:hAnsiTheme="minorHAnsi" w:cstheme="minorHAnsi"/>
          <w:b/>
          <w:bCs/>
        </w:rPr>
      </w:pPr>
      <w:r w:rsidRPr="00D42139">
        <w:rPr>
          <w:rFonts w:asciiTheme="minorHAnsi" w:hAnsiTheme="minorHAnsi" w:cstheme="minorHAnsi"/>
          <w:b/>
          <w:bCs/>
        </w:rPr>
        <w:t xml:space="preserve">What is driving the recent price increases of credit reports and credit scores? How are different parts of the credit report chain (credit score provider, national credit reporting agencies, reseller) contributing to this increase in costs? What competitive forces are or can be brought to bear on these costs? What are the impacts on consumers of the increased costs? </w:t>
      </w:r>
    </w:p>
    <w:p w14:paraId="7BEBBBFD" w14:textId="7733276E" w:rsidR="001738D3" w:rsidRDefault="002416C2" w:rsidP="00BF3884">
      <w:pPr>
        <w:spacing w:line="240" w:lineRule="auto"/>
        <w:rPr>
          <w:rFonts w:asciiTheme="minorHAnsi" w:hAnsiTheme="minorHAnsi" w:cstheme="minorHAnsi"/>
        </w:rPr>
      </w:pPr>
      <w:r>
        <w:rPr>
          <w:rFonts w:asciiTheme="minorHAnsi" w:hAnsiTheme="minorHAnsi" w:cstheme="minorHAnsi"/>
        </w:rPr>
        <w:t xml:space="preserve">This is one of the most concerning areas in this RFI. </w:t>
      </w:r>
      <w:r w:rsidR="00637BE1">
        <w:rPr>
          <w:rFonts w:asciiTheme="minorHAnsi" w:hAnsiTheme="minorHAnsi" w:cstheme="minorHAnsi"/>
        </w:rPr>
        <w:t xml:space="preserve"> </w:t>
      </w:r>
      <w:r w:rsidR="00911E1A">
        <w:rPr>
          <w:rFonts w:asciiTheme="minorHAnsi" w:hAnsiTheme="minorHAnsi" w:cstheme="minorHAnsi"/>
        </w:rPr>
        <w:t>In November, 2022</w:t>
      </w:r>
      <w:r w:rsidR="00A82D24">
        <w:rPr>
          <w:rFonts w:asciiTheme="minorHAnsi" w:hAnsiTheme="minorHAnsi" w:cstheme="minorHAnsi"/>
        </w:rPr>
        <w:t xml:space="preserve">, the National Consumer Reporting Association (NCRA) released an </w:t>
      </w:r>
      <w:hyperlink r:id="rId19" w:history="1">
        <w:r w:rsidR="00A82D24" w:rsidRPr="00C72522">
          <w:rPr>
            <w:rStyle w:val="Hyperlink"/>
            <w:rFonts w:asciiTheme="minorHAnsi" w:hAnsiTheme="minorHAnsi" w:cstheme="minorHAnsi"/>
          </w:rPr>
          <w:t>announcement</w:t>
        </w:r>
      </w:hyperlink>
      <w:r w:rsidR="00A82D24">
        <w:rPr>
          <w:rFonts w:asciiTheme="minorHAnsi" w:hAnsiTheme="minorHAnsi" w:cstheme="minorHAnsi"/>
        </w:rPr>
        <w:t xml:space="preserve"> </w:t>
      </w:r>
      <w:r w:rsidR="00B27D61">
        <w:rPr>
          <w:rFonts w:asciiTheme="minorHAnsi" w:hAnsiTheme="minorHAnsi" w:cstheme="minorHAnsi"/>
        </w:rPr>
        <w:t xml:space="preserve">confirming the massive (in some cases 400% </w:t>
      </w:r>
      <w:r w:rsidR="008D4839">
        <w:rPr>
          <w:rFonts w:asciiTheme="minorHAnsi" w:hAnsiTheme="minorHAnsi" w:cstheme="minorHAnsi"/>
        </w:rPr>
        <w:t xml:space="preserve">) </w:t>
      </w:r>
      <w:r w:rsidR="00B27D61">
        <w:rPr>
          <w:rFonts w:asciiTheme="minorHAnsi" w:hAnsiTheme="minorHAnsi" w:cstheme="minorHAnsi"/>
        </w:rPr>
        <w:t>i</w:t>
      </w:r>
      <w:r w:rsidR="008D4839">
        <w:rPr>
          <w:rFonts w:asciiTheme="minorHAnsi" w:hAnsiTheme="minorHAnsi" w:cstheme="minorHAnsi"/>
        </w:rPr>
        <w:t>ncrease in</w:t>
      </w:r>
      <w:r w:rsidR="00A73BD0">
        <w:rPr>
          <w:rFonts w:asciiTheme="minorHAnsi" w:hAnsiTheme="minorHAnsi" w:cstheme="minorHAnsi"/>
        </w:rPr>
        <w:t xml:space="preserve"> costs, mostly attributed to the pricing tiers announces by Fair Issac (FICO)</w:t>
      </w:r>
      <w:r w:rsidR="00C72522">
        <w:rPr>
          <w:rFonts w:asciiTheme="minorHAnsi" w:hAnsiTheme="minorHAnsi" w:cstheme="minorHAnsi"/>
        </w:rPr>
        <w:t xml:space="preserve">. </w:t>
      </w:r>
      <w:r w:rsidR="003B2BA3">
        <w:rPr>
          <w:rFonts w:asciiTheme="minorHAnsi" w:hAnsiTheme="minorHAnsi" w:cstheme="minorHAnsi"/>
        </w:rPr>
        <w:t xml:space="preserve"> </w:t>
      </w:r>
      <w:r w:rsidR="00B131CE">
        <w:rPr>
          <w:rFonts w:asciiTheme="minorHAnsi" w:hAnsiTheme="minorHAnsi" w:cstheme="minorHAnsi"/>
        </w:rPr>
        <w:t xml:space="preserve">This increase in credit reporting </w:t>
      </w:r>
      <w:r w:rsidR="00505902">
        <w:rPr>
          <w:rFonts w:asciiTheme="minorHAnsi" w:hAnsiTheme="minorHAnsi" w:cstheme="minorHAnsi"/>
        </w:rPr>
        <w:t xml:space="preserve">pricing </w:t>
      </w:r>
      <w:r w:rsidR="005E721C">
        <w:rPr>
          <w:rFonts w:asciiTheme="minorHAnsi" w:hAnsiTheme="minorHAnsi" w:cstheme="minorHAnsi"/>
        </w:rPr>
        <w:t xml:space="preserve">was dictated to lenders by </w:t>
      </w:r>
      <w:r w:rsidR="002802FD">
        <w:rPr>
          <w:rFonts w:asciiTheme="minorHAnsi" w:hAnsiTheme="minorHAnsi" w:cstheme="minorHAnsi"/>
        </w:rPr>
        <w:t xml:space="preserve">all three national credit bureaus and/or FICO. To further </w:t>
      </w:r>
      <w:r w:rsidR="00696AE7">
        <w:rPr>
          <w:rFonts w:asciiTheme="minorHAnsi" w:hAnsiTheme="minorHAnsi" w:cstheme="minorHAnsi"/>
        </w:rPr>
        <w:t xml:space="preserve">complicate matters, the credit bureaus also increased the fees for </w:t>
      </w:r>
      <w:r w:rsidR="00044E1B">
        <w:rPr>
          <w:rFonts w:asciiTheme="minorHAnsi" w:hAnsiTheme="minorHAnsi" w:cstheme="minorHAnsi"/>
        </w:rPr>
        <w:t xml:space="preserve">“soft pulls” which make the cost of obtaining a </w:t>
      </w:r>
      <w:r w:rsidR="0083696C">
        <w:rPr>
          <w:rFonts w:asciiTheme="minorHAnsi" w:hAnsiTheme="minorHAnsi" w:cstheme="minorHAnsi"/>
        </w:rPr>
        <w:t xml:space="preserve">“soft” credit report almost the same cost as a merged “hard” credit report. </w:t>
      </w:r>
      <w:r w:rsidR="005C59A8">
        <w:rPr>
          <w:rFonts w:asciiTheme="minorHAnsi" w:hAnsiTheme="minorHAnsi" w:cstheme="minorHAnsi"/>
        </w:rPr>
        <w:t xml:space="preserve">Credit bureaus also sell “trigger leads” </w:t>
      </w:r>
      <w:r w:rsidR="00510ACC">
        <w:rPr>
          <w:rFonts w:asciiTheme="minorHAnsi" w:hAnsiTheme="minorHAnsi" w:cstheme="minorHAnsi"/>
        </w:rPr>
        <w:t xml:space="preserve">as the result of a </w:t>
      </w:r>
      <w:r w:rsidR="00FC59E3">
        <w:rPr>
          <w:rFonts w:asciiTheme="minorHAnsi" w:hAnsiTheme="minorHAnsi" w:cstheme="minorHAnsi"/>
        </w:rPr>
        <w:t xml:space="preserve">merged “hard copy” credit report. </w:t>
      </w:r>
      <w:r w:rsidR="00072995">
        <w:rPr>
          <w:rFonts w:asciiTheme="minorHAnsi" w:hAnsiTheme="minorHAnsi" w:cstheme="minorHAnsi"/>
        </w:rPr>
        <w:t xml:space="preserve">Although FICO score costs have not increased </w:t>
      </w:r>
      <w:r w:rsidR="0097218D">
        <w:rPr>
          <w:rFonts w:asciiTheme="minorHAnsi" w:hAnsiTheme="minorHAnsi" w:cstheme="minorHAnsi"/>
        </w:rPr>
        <w:t xml:space="preserve">for several years prior to this increase, the drastic </w:t>
      </w:r>
      <w:r w:rsidR="004F367C">
        <w:rPr>
          <w:rFonts w:asciiTheme="minorHAnsi" w:hAnsiTheme="minorHAnsi" w:cstheme="minorHAnsi"/>
        </w:rPr>
        <w:t xml:space="preserve">percentage of increase </w:t>
      </w:r>
      <w:r w:rsidR="00C13BB7">
        <w:rPr>
          <w:rFonts w:asciiTheme="minorHAnsi" w:hAnsiTheme="minorHAnsi" w:cstheme="minorHAnsi"/>
        </w:rPr>
        <w:t xml:space="preserve">ultimately increases the cost of credit report dramatically. </w:t>
      </w:r>
    </w:p>
    <w:p w14:paraId="4995E309" w14:textId="77777777" w:rsidR="002416C2" w:rsidRPr="003825BB" w:rsidRDefault="002416C2" w:rsidP="00BF3884">
      <w:pPr>
        <w:spacing w:line="240" w:lineRule="auto"/>
        <w:rPr>
          <w:rFonts w:asciiTheme="minorHAnsi" w:hAnsiTheme="minorHAnsi" w:cstheme="minorHAnsi"/>
          <w:sz w:val="20"/>
          <w:szCs w:val="20"/>
        </w:rPr>
      </w:pPr>
    </w:p>
    <w:p w14:paraId="5BC348B6" w14:textId="37FEC317" w:rsidR="0094612B" w:rsidRDefault="002416C2" w:rsidP="00BF3884">
      <w:pPr>
        <w:spacing w:line="240" w:lineRule="auto"/>
        <w:rPr>
          <w:rFonts w:asciiTheme="minorHAnsi" w:hAnsiTheme="minorHAnsi" w:cstheme="minorHAnsi"/>
        </w:rPr>
      </w:pPr>
      <w:r>
        <w:rPr>
          <w:rFonts w:asciiTheme="minorHAnsi" w:hAnsiTheme="minorHAnsi" w:cstheme="minorHAnsi"/>
        </w:rPr>
        <w:t xml:space="preserve">In summary, we have </w:t>
      </w:r>
      <w:r w:rsidRPr="00856AEC">
        <w:rPr>
          <w:rFonts w:asciiTheme="minorHAnsi" w:hAnsiTheme="minorHAnsi" w:cstheme="minorHAnsi"/>
        </w:rPr>
        <w:t>4 entities (the national credit bureaus + FICO) that dictated a sharp increase in pricing to the industry, making it a monopoly as these products/services are required and therefore without competition. There are virtually no other alternatives and there is little negotiation leverage.</w:t>
      </w:r>
      <w:r>
        <w:rPr>
          <w:rFonts w:ascii="Calibri" w:hAnsi="Calibri" w:cs="Calibri"/>
          <w:color w:val="242424"/>
          <w:sz w:val="22"/>
          <w:szCs w:val="22"/>
          <w:shd w:val="clear" w:color="auto" w:fill="FFFFFF"/>
        </w:rPr>
        <w:t xml:space="preserve"> </w:t>
      </w:r>
      <w:r w:rsidR="001738D3">
        <w:rPr>
          <w:rFonts w:asciiTheme="minorHAnsi" w:hAnsiTheme="minorHAnsi" w:cstheme="minorHAnsi"/>
        </w:rPr>
        <w:t xml:space="preserve">Resellers of </w:t>
      </w:r>
      <w:r w:rsidR="00AA0F72">
        <w:rPr>
          <w:rFonts w:asciiTheme="minorHAnsi" w:hAnsiTheme="minorHAnsi" w:cstheme="minorHAnsi"/>
        </w:rPr>
        <w:t xml:space="preserve">credit reports needed to increase pricing to pass along the added cost. </w:t>
      </w:r>
      <w:r w:rsidR="006C5B4C">
        <w:rPr>
          <w:rFonts w:asciiTheme="minorHAnsi" w:hAnsiTheme="minorHAnsi" w:cstheme="minorHAnsi"/>
        </w:rPr>
        <w:t>Lenders then pass along the cost to consumers</w:t>
      </w:r>
      <w:r w:rsidR="00E11C65">
        <w:rPr>
          <w:rFonts w:asciiTheme="minorHAnsi" w:hAnsiTheme="minorHAnsi" w:cstheme="minorHAnsi"/>
        </w:rPr>
        <w:t xml:space="preserve">, who are also being bombarded with </w:t>
      </w:r>
      <w:r w:rsidR="004C2FC4">
        <w:rPr>
          <w:rFonts w:asciiTheme="minorHAnsi" w:hAnsiTheme="minorHAnsi" w:cstheme="minorHAnsi"/>
        </w:rPr>
        <w:t xml:space="preserve">large amounts of </w:t>
      </w:r>
      <w:r w:rsidR="00E11C65">
        <w:rPr>
          <w:rFonts w:asciiTheme="minorHAnsi" w:hAnsiTheme="minorHAnsi" w:cstheme="minorHAnsi"/>
        </w:rPr>
        <w:t xml:space="preserve">unsolicited calls, </w:t>
      </w:r>
      <w:r w:rsidR="0034181E">
        <w:rPr>
          <w:rFonts w:asciiTheme="minorHAnsi" w:hAnsiTheme="minorHAnsi" w:cstheme="minorHAnsi"/>
        </w:rPr>
        <w:t>emails,</w:t>
      </w:r>
      <w:r w:rsidR="00E11C65">
        <w:rPr>
          <w:rFonts w:asciiTheme="minorHAnsi" w:hAnsiTheme="minorHAnsi" w:cstheme="minorHAnsi"/>
        </w:rPr>
        <w:t xml:space="preserve"> and text</w:t>
      </w:r>
      <w:r w:rsidR="004C2FC4">
        <w:rPr>
          <w:rFonts w:asciiTheme="minorHAnsi" w:hAnsiTheme="minorHAnsi" w:cstheme="minorHAnsi"/>
        </w:rPr>
        <w:t xml:space="preserve"> messages in a relatively short period of time</w:t>
      </w:r>
      <w:r w:rsidR="0034181E">
        <w:rPr>
          <w:rFonts w:asciiTheme="minorHAnsi" w:hAnsiTheme="minorHAnsi" w:cstheme="minorHAnsi"/>
        </w:rPr>
        <w:t xml:space="preserve"> because of trigger leads. </w:t>
      </w:r>
      <w:r w:rsidR="004C2FC4">
        <w:rPr>
          <w:rFonts w:asciiTheme="minorHAnsi" w:hAnsiTheme="minorHAnsi" w:cstheme="minorHAnsi"/>
        </w:rPr>
        <w:t xml:space="preserve"> </w:t>
      </w:r>
    </w:p>
    <w:p w14:paraId="62246246" w14:textId="77777777" w:rsidR="0094612B" w:rsidRPr="003825BB" w:rsidRDefault="0094612B" w:rsidP="00BF3884">
      <w:pPr>
        <w:spacing w:line="240" w:lineRule="auto"/>
        <w:rPr>
          <w:rFonts w:asciiTheme="minorHAnsi" w:hAnsiTheme="minorHAnsi" w:cstheme="minorHAnsi"/>
          <w:sz w:val="20"/>
          <w:szCs w:val="20"/>
        </w:rPr>
      </w:pPr>
    </w:p>
    <w:p w14:paraId="4549FC14" w14:textId="260D276D" w:rsidR="00453125" w:rsidRDefault="0094612B" w:rsidP="00BF3884">
      <w:pPr>
        <w:spacing w:line="240" w:lineRule="auto"/>
        <w:rPr>
          <w:rFonts w:asciiTheme="minorHAnsi" w:hAnsiTheme="minorHAnsi" w:cstheme="minorHAnsi"/>
        </w:rPr>
      </w:pPr>
      <w:r>
        <w:rPr>
          <w:rFonts w:asciiTheme="minorHAnsi" w:hAnsiTheme="minorHAnsi" w:cstheme="minorHAnsi"/>
        </w:rPr>
        <w:t>A</w:t>
      </w:r>
      <w:r w:rsidR="00F211DA">
        <w:rPr>
          <w:rFonts w:asciiTheme="minorHAnsi" w:hAnsiTheme="minorHAnsi" w:cstheme="minorHAnsi"/>
        </w:rPr>
        <w:t>s</w:t>
      </w:r>
      <w:r>
        <w:rPr>
          <w:rFonts w:asciiTheme="minorHAnsi" w:hAnsiTheme="minorHAnsi" w:cstheme="minorHAnsi"/>
        </w:rPr>
        <w:t xml:space="preserve"> a mortgage industry</w:t>
      </w:r>
      <w:r w:rsidR="00F211DA">
        <w:rPr>
          <w:rFonts w:asciiTheme="minorHAnsi" w:hAnsiTheme="minorHAnsi" w:cstheme="minorHAnsi"/>
        </w:rPr>
        <w:t xml:space="preserve"> that heavily allows the FICO score </w:t>
      </w:r>
      <w:r w:rsidR="0034181E">
        <w:rPr>
          <w:rFonts w:asciiTheme="minorHAnsi" w:hAnsiTheme="minorHAnsi" w:cstheme="minorHAnsi"/>
        </w:rPr>
        <w:t xml:space="preserve">and credit history </w:t>
      </w:r>
      <w:r w:rsidR="00F211DA">
        <w:rPr>
          <w:rFonts w:asciiTheme="minorHAnsi" w:hAnsiTheme="minorHAnsi" w:cstheme="minorHAnsi"/>
        </w:rPr>
        <w:t xml:space="preserve">to determine </w:t>
      </w:r>
      <w:r w:rsidR="002004AD">
        <w:rPr>
          <w:rFonts w:asciiTheme="minorHAnsi" w:hAnsiTheme="minorHAnsi" w:cstheme="minorHAnsi"/>
        </w:rPr>
        <w:t xml:space="preserve">a consumer’s interest rate and qualification, it is concerning that </w:t>
      </w:r>
      <w:r w:rsidR="0034181E">
        <w:rPr>
          <w:rFonts w:asciiTheme="minorHAnsi" w:hAnsiTheme="minorHAnsi" w:cstheme="minorHAnsi"/>
        </w:rPr>
        <w:t xml:space="preserve">4 entities </w:t>
      </w:r>
      <w:r w:rsidR="00791964">
        <w:rPr>
          <w:rFonts w:asciiTheme="minorHAnsi" w:hAnsiTheme="minorHAnsi" w:cstheme="minorHAnsi"/>
        </w:rPr>
        <w:t xml:space="preserve">can </w:t>
      </w:r>
      <w:r w:rsidR="00B210F6">
        <w:rPr>
          <w:rFonts w:asciiTheme="minorHAnsi" w:hAnsiTheme="minorHAnsi" w:cstheme="minorHAnsi"/>
        </w:rPr>
        <w:t xml:space="preserve">increase cost so dramatically. Banking, collection agencies, </w:t>
      </w:r>
      <w:r w:rsidR="00AE3E78">
        <w:rPr>
          <w:rFonts w:asciiTheme="minorHAnsi" w:hAnsiTheme="minorHAnsi" w:cstheme="minorHAnsi"/>
        </w:rPr>
        <w:t xml:space="preserve">energy and utility companies, healthcare, insurance, </w:t>
      </w:r>
      <w:r w:rsidR="00420E32">
        <w:rPr>
          <w:rFonts w:asciiTheme="minorHAnsi" w:hAnsiTheme="minorHAnsi" w:cstheme="minorHAnsi"/>
        </w:rPr>
        <w:t>manufacturing</w:t>
      </w:r>
      <w:r w:rsidR="00AE3E78">
        <w:rPr>
          <w:rFonts w:asciiTheme="minorHAnsi" w:hAnsiTheme="minorHAnsi" w:cstheme="minorHAnsi"/>
        </w:rPr>
        <w:t xml:space="preserve">, retail, </w:t>
      </w:r>
      <w:r w:rsidR="00420E32">
        <w:rPr>
          <w:rFonts w:asciiTheme="minorHAnsi" w:hAnsiTheme="minorHAnsi" w:cstheme="minorHAnsi"/>
        </w:rPr>
        <w:t>telecommunications</w:t>
      </w:r>
      <w:r w:rsidR="004B16B8">
        <w:rPr>
          <w:rFonts w:asciiTheme="minorHAnsi" w:hAnsiTheme="minorHAnsi" w:cstheme="minorHAnsi"/>
        </w:rPr>
        <w:t xml:space="preserve">, media, transportation, and government are </w:t>
      </w:r>
      <w:hyperlink r:id="rId20" w:history="1">
        <w:r w:rsidR="004B16B8" w:rsidRPr="00B305DD">
          <w:rPr>
            <w:rStyle w:val="Hyperlink"/>
            <w:rFonts w:asciiTheme="minorHAnsi" w:hAnsiTheme="minorHAnsi" w:cstheme="minorHAnsi"/>
          </w:rPr>
          <w:t>all</w:t>
        </w:r>
      </w:hyperlink>
      <w:r w:rsidR="004B16B8">
        <w:rPr>
          <w:rFonts w:asciiTheme="minorHAnsi" w:hAnsiTheme="minorHAnsi" w:cstheme="minorHAnsi"/>
        </w:rPr>
        <w:t xml:space="preserve"> </w:t>
      </w:r>
      <w:r w:rsidR="00420E32">
        <w:rPr>
          <w:rFonts w:asciiTheme="minorHAnsi" w:hAnsiTheme="minorHAnsi" w:cstheme="minorHAnsi"/>
        </w:rPr>
        <w:t>using the FICO score model in one way or another</w:t>
      </w:r>
      <w:r w:rsidR="008752DA">
        <w:rPr>
          <w:rFonts w:asciiTheme="minorHAnsi" w:hAnsiTheme="minorHAnsi" w:cstheme="minorHAnsi"/>
        </w:rPr>
        <w:t xml:space="preserve">. </w:t>
      </w:r>
    </w:p>
    <w:p w14:paraId="52D57DDF" w14:textId="77777777" w:rsidR="00453125" w:rsidRPr="003825BB" w:rsidRDefault="00453125" w:rsidP="00BF3884">
      <w:pPr>
        <w:spacing w:line="240" w:lineRule="auto"/>
        <w:rPr>
          <w:rFonts w:asciiTheme="minorHAnsi" w:hAnsiTheme="minorHAnsi" w:cstheme="minorHAnsi"/>
          <w:sz w:val="20"/>
          <w:szCs w:val="20"/>
        </w:rPr>
      </w:pPr>
    </w:p>
    <w:p w14:paraId="5358EDE7" w14:textId="77777777" w:rsidR="005002BA" w:rsidRDefault="00122733" w:rsidP="00BF3884">
      <w:pPr>
        <w:spacing w:line="240" w:lineRule="auto"/>
        <w:rPr>
          <w:rFonts w:asciiTheme="minorHAnsi" w:hAnsiTheme="minorHAnsi" w:cstheme="minorHAnsi"/>
        </w:rPr>
      </w:pPr>
      <w:r>
        <w:rPr>
          <w:rFonts w:asciiTheme="minorHAnsi" w:hAnsiTheme="minorHAnsi" w:cstheme="minorHAnsi"/>
        </w:rPr>
        <w:lastRenderedPageBreak/>
        <w:t xml:space="preserve">How do we allow one company to </w:t>
      </w:r>
      <w:r w:rsidR="00A33205">
        <w:rPr>
          <w:rFonts w:asciiTheme="minorHAnsi" w:hAnsiTheme="minorHAnsi" w:cstheme="minorHAnsi"/>
        </w:rPr>
        <w:t>influence and monopo</w:t>
      </w:r>
      <w:r w:rsidR="00C26B50">
        <w:rPr>
          <w:rFonts w:asciiTheme="minorHAnsi" w:hAnsiTheme="minorHAnsi" w:cstheme="minorHAnsi"/>
        </w:rPr>
        <w:t xml:space="preserve">lize market pricing? </w:t>
      </w:r>
      <w:r w:rsidR="00772751">
        <w:rPr>
          <w:rFonts w:asciiTheme="minorHAnsi" w:hAnsiTheme="minorHAnsi" w:cstheme="minorHAnsi"/>
        </w:rPr>
        <w:t xml:space="preserve">According to the </w:t>
      </w:r>
      <w:r w:rsidR="00C26B50">
        <w:rPr>
          <w:rFonts w:asciiTheme="minorHAnsi" w:hAnsiTheme="minorHAnsi" w:cstheme="minorHAnsi"/>
        </w:rPr>
        <w:t xml:space="preserve">Federal Trade </w:t>
      </w:r>
      <w:r w:rsidR="004479BA">
        <w:rPr>
          <w:rFonts w:asciiTheme="minorHAnsi" w:hAnsiTheme="minorHAnsi" w:cstheme="minorHAnsi"/>
        </w:rPr>
        <w:t>Commission’s</w:t>
      </w:r>
      <w:r w:rsidR="00C26B50">
        <w:rPr>
          <w:rFonts w:asciiTheme="minorHAnsi" w:hAnsiTheme="minorHAnsi" w:cstheme="minorHAnsi"/>
        </w:rPr>
        <w:t xml:space="preserve"> </w:t>
      </w:r>
      <w:r w:rsidR="004479BA">
        <w:rPr>
          <w:rFonts w:asciiTheme="minorHAnsi" w:hAnsiTheme="minorHAnsi" w:cstheme="minorHAnsi"/>
        </w:rPr>
        <w:t>Anticompetitive Practices</w:t>
      </w:r>
      <w:r w:rsidR="001269B2">
        <w:rPr>
          <w:rFonts w:asciiTheme="minorHAnsi" w:hAnsiTheme="minorHAnsi" w:cstheme="minorHAnsi"/>
        </w:rPr>
        <w:t xml:space="preserve"> </w:t>
      </w:r>
      <w:hyperlink r:id="rId21" w:history="1">
        <w:r w:rsidR="001269B2" w:rsidRPr="001269B2">
          <w:rPr>
            <w:rStyle w:val="Hyperlink"/>
            <w:rFonts w:asciiTheme="minorHAnsi" w:hAnsiTheme="minorHAnsi" w:cstheme="minorHAnsi"/>
          </w:rPr>
          <w:t>website</w:t>
        </w:r>
      </w:hyperlink>
      <w:r w:rsidR="001269B2">
        <w:rPr>
          <w:rFonts w:asciiTheme="minorHAnsi" w:hAnsiTheme="minorHAnsi" w:cstheme="minorHAnsi"/>
        </w:rPr>
        <w:t>:</w:t>
      </w:r>
    </w:p>
    <w:p w14:paraId="718CB7C4" w14:textId="77777777" w:rsidR="005002BA" w:rsidRPr="003825BB" w:rsidRDefault="005002BA" w:rsidP="00BF3884">
      <w:pPr>
        <w:spacing w:line="240" w:lineRule="auto"/>
        <w:rPr>
          <w:rFonts w:asciiTheme="minorHAnsi" w:hAnsiTheme="minorHAnsi" w:cstheme="minorHAnsi"/>
          <w:sz w:val="20"/>
          <w:szCs w:val="20"/>
        </w:rPr>
      </w:pPr>
    </w:p>
    <w:p w14:paraId="066C9E9E" w14:textId="090B87C0" w:rsidR="00D868CE" w:rsidRPr="00A243B7" w:rsidRDefault="00D868CE" w:rsidP="00D868CE">
      <w:pPr>
        <w:spacing w:line="240" w:lineRule="auto"/>
        <w:ind w:left="720"/>
        <w:rPr>
          <w:rFonts w:ascii="Calibri" w:hAnsi="Calibri" w:cs="Calibri"/>
        </w:rPr>
      </w:pPr>
      <w:r w:rsidRPr="00A243B7">
        <w:rPr>
          <w:rFonts w:ascii="Calibri" w:hAnsi="Calibri" w:cs="Calibri"/>
          <w:color w:val="1B1B1B"/>
          <w:shd w:val="clear" w:color="auto" w:fill="FFFFFF"/>
        </w:rPr>
        <w:t>“As that law has been interpreted, it is not illegal for a company to have a monopoly, to charge "high prices," or to try to achieve a monopoly position by what might be viewed by some as particularly aggressive methods. </w:t>
      </w:r>
    </w:p>
    <w:p w14:paraId="16E439D5" w14:textId="77777777" w:rsidR="008752DA" w:rsidRPr="003825BB" w:rsidRDefault="008752DA" w:rsidP="00A243B7">
      <w:pPr>
        <w:spacing w:line="240" w:lineRule="auto"/>
        <w:rPr>
          <w:rFonts w:asciiTheme="minorHAnsi" w:hAnsiTheme="minorHAnsi" w:cstheme="minorHAnsi"/>
          <w:sz w:val="20"/>
          <w:szCs w:val="20"/>
        </w:rPr>
      </w:pPr>
    </w:p>
    <w:p w14:paraId="6D254BB6" w14:textId="59CD9BB0" w:rsidR="00A243B7" w:rsidRDefault="00A243B7" w:rsidP="00A243B7">
      <w:pPr>
        <w:spacing w:line="240" w:lineRule="auto"/>
        <w:rPr>
          <w:rFonts w:asciiTheme="minorHAnsi" w:hAnsiTheme="minorHAnsi" w:cstheme="minorHAnsi"/>
        </w:rPr>
      </w:pPr>
      <w:r>
        <w:rPr>
          <w:rFonts w:asciiTheme="minorHAnsi" w:hAnsiTheme="minorHAnsi" w:cstheme="minorHAnsi"/>
        </w:rPr>
        <w:t xml:space="preserve">In October 2022 the FHFA </w:t>
      </w:r>
      <w:hyperlink r:id="rId22" w:history="1">
        <w:r w:rsidRPr="003D1257">
          <w:rPr>
            <w:rStyle w:val="Hyperlink"/>
            <w:rFonts w:asciiTheme="minorHAnsi" w:hAnsiTheme="minorHAnsi" w:cstheme="minorHAnsi"/>
          </w:rPr>
          <w:t>announced</w:t>
        </w:r>
      </w:hyperlink>
      <w:r>
        <w:rPr>
          <w:rFonts w:asciiTheme="minorHAnsi" w:hAnsiTheme="minorHAnsi" w:cstheme="minorHAnsi"/>
        </w:rPr>
        <w:t xml:space="preserve"> the approval of two new credit scores – FICO 10T and VantageScore 4.0. Determining how this will impact consumers both in associated closing costs and mortgage qualification is something that the </w:t>
      </w:r>
      <w:r w:rsidR="008752DA">
        <w:rPr>
          <w:rFonts w:asciiTheme="minorHAnsi" w:hAnsiTheme="minorHAnsi" w:cstheme="minorHAnsi"/>
        </w:rPr>
        <w:t xml:space="preserve">Bureau </w:t>
      </w:r>
      <w:r>
        <w:rPr>
          <w:rFonts w:asciiTheme="minorHAnsi" w:hAnsiTheme="minorHAnsi" w:cstheme="minorHAnsi"/>
        </w:rPr>
        <w:t>should pay close attention to.</w:t>
      </w:r>
    </w:p>
    <w:p w14:paraId="5403B9E6" w14:textId="4AD66DA4" w:rsidR="004D7E6F" w:rsidRPr="00EB316E" w:rsidRDefault="004D7E6F" w:rsidP="00A243B7">
      <w:pPr>
        <w:spacing w:line="240" w:lineRule="auto"/>
        <w:rPr>
          <w:rFonts w:asciiTheme="minorHAnsi" w:hAnsiTheme="minorHAnsi" w:cstheme="minorHAnsi"/>
          <w:sz w:val="20"/>
          <w:szCs w:val="20"/>
        </w:rPr>
      </w:pPr>
      <w:r>
        <w:rPr>
          <w:rFonts w:asciiTheme="minorHAnsi" w:hAnsiTheme="minorHAnsi" w:cstheme="minorHAnsi"/>
        </w:rPr>
        <w:t xml:space="preserve"> </w:t>
      </w:r>
    </w:p>
    <w:p w14:paraId="4F49A52F" w14:textId="77777777" w:rsidR="00A87016" w:rsidRPr="00152897" w:rsidRDefault="00A87016" w:rsidP="00DE3BB2">
      <w:pPr>
        <w:spacing w:line="240" w:lineRule="auto"/>
        <w:rPr>
          <w:rFonts w:asciiTheme="minorHAnsi" w:hAnsiTheme="minorHAnsi" w:cstheme="minorHAnsi"/>
          <w:b/>
          <w:bCs/>
        </w:rPr>
      </w:pPr>
      <w:r w:rsidRPr="00152897">
        <w:rPr>
          <w:rFonts w:asciiTheme="minorHAnsi" w:hAnsiTheme="minorHAnsi" w:cstheme="minorHAnsi"/>
          <w:b/>
          <w:bCs/>
        </w:rPr>
        <w:t xml:space="preserve">Which closing costs have increased the most over the past several years? What is the cause of such increases? Do they differ for purchase or refinance? Please provide data to support if possible. </w:t>
      </w:r>
    </w:p>
    <w:p w14:paraId="49165F12" w14:textId="4075E81F" w:rsidR="00647F09" w:rsidRPr="003E25F0" w:rsidRDefault="00865F6F" w:rsidP="00ED2408">
      <w:pPr>
        <w:pStyle w:val="ListParagraph"/>
        <w:numPr>
          <w:ilvl w:val="0"/>
          <w:numId w:val="8"/>
        </w:numPr>
        <w:spacing w:line="240" w:lineRule="auto"/>
        <w:rPr>
          <w:rFonts w:ascii="Calibri" w:hAnsi="Calibri" w:cs="Calibri"/>
          <w:color w:val="363636"/>
          <w:shd w:val="clear" w:color="auto" w:fill="FFFFFF"/>
        </w:rPr>
      </w:pPr>
      <w:r w:rsidRPr="003E25F0">
        <w:rPr>
          <w:rFonts w:ascii="Calibri" w:hAnsi="Calibri" w:cs="Calibri"/>
          <w:color w:val="1A1D26"/>
          <w:shd w:val="clear" w:color="auto" w:fill="FFFFFF"/>
        </w:rPr>
        <w:t xml:space="preserve">In a </w:t>
      </w:r>
      <w:r w:rsidR="00963729" w:rsidRPr="003E25F0">
        <w:rPr>
          <w:rFonts w:ascii="Calibri" w:hAnsi="Calibri" w:cs="Calibri"/>
          <w:color w:val="1A1D26"/>
          <w:shd w:val="clear" w:color="auto" w:fill="FFFFFF"/>
        </w:rPr>
        <w:t xml:space="preserve">US News </w:t>
      </w:r>
      <w:hyperlink r:id="rId23" w:history="1">
        <w:r w:rsidR="00963729" w:rsidRPr="003E25F0">
          <w:rPr>
            <w:rStyle w:val="Hyperlink"/>
            <w:rFonts w:ascii="Calibri" w:hAnsi="Calibri" w:cs="Calibri"/>
            <w:shd w:val="clear" w:color="auto" w:fill="FFFFFF"/>
          </w:rPr>
          <w:t>report,</w:t>
        </w:r>
      </w:hyperlink>
      <w:r w:rsidR="00963729" w:rsidRPr="003E25F0">
        <w:rPr>
          <w:rFonts w:ascii="Calibri" w:hAnsi="Calibri" w:cs="Calibri"/>
          <w:color w:val="1A1D26"/>
          <w:shd w:val="clear" w:color="auto" w:fill="FFFFFF"/>
        </w:rPr>
        <w:t xml:space="preserve"> the </w:t>
      </w:r>
      <w:r w:rsidR="00647F09" w:rsidRPr="003E25F0">
        <w:rPr>
          <w:rFonts w:ascii="Calibri" w:hAnsi="Calibri" w:cs="Calibri"/>
          <w:color w:val="1A1D26"/>
          <w:shd w:val="clear" w:color="auto" w:fill="FFFFFF"/>
        </w:rPr>
        <w:t>average 30-year fixed rate reached an all-time record low of 2.65% in January 2021 before surging to 7.79% in October 2023</w:t>
      </w:r>
      <w:r w:rsidR="00C86CBB" w:rsidRPr="003E25F0">
        <w:rPr>
          <w:rFonts w:ascii="Calibri" w:hAnsi="Calibri" w:cs="Calibri"/>
          <w:color w:val="1A1D26"/>
          <w:shd w:val="clear" w:color="auto" w:fill="FFFFFF"/>
        </w:rPr>
        <w:t xml:space="preserve">. </w:t>
      </w:r>
      <w:r w:rsidR="00647F09" w:rsidRPr="003E25F0">
        <w:rPr>
          <w:rFonts w:ascii="Calibri" w:hAnsi="Calibri" w:cs="Calibri"/>
          <w:color w:val="1A1D26"/>
          <w:shd w:val="clear" w:color="auto" w:fill="FFFFFF"/>
        </w:rPr>
        <w:t xml:space="preserve">In 2024, mortgage rates have been hovering </w:t>
      </w:r>
      <w:r w:rsidR="00664A29" w:rsidRPr="003E25F0">
        <w:rPr>
          <w:rFonts w:ascii="Calibri" w:hAnsi="Calibri" w:cs="Calibri"/>
          <w:color w:val="1A1D26"/>
          <w:shd w:val="clear" w:color="auto" w:fill="FFFFFF"/>
        </w:rPr>
        <w:t xml:space="preserve">at the </w:t>
      </w:r>
      <w:r w:rsidR="00647F09" w:rsidRPr="003E25F0">
        <w:rPr>
          <w:rFonts w:ascii="Calibri" w:hAnsi="Calibri" w:cs="Calibri"/>
          <w:color w:val="1A1D26"/>
          <w:shd w:val="clear" w:color="auto" w:fill="FFFFFF"/>
        </w:rPr>
        <w:t>7% mark.</w:t>
      </w:r>
    </w:p>
    <w:p w14:paraId="18C60140" w14:textId="1FD46230" w:rsidR="00661DA7" w:rsidRPr="00ED2408" w:rsidRDefault="00152897" w:rsidP="00ED2408">
      <w:pPr>
        <w:pStyle w:val="ListParagraph"/>
        <w:numPr>
          <w:ilvl w:val="0"/>
          <w:numId w:val="8"/>
        </w:numPr>
        <w:spacing w:line="240" w:lineRule="auto"/>
        <w:rPr>
          <w:rFonts w:ascii="Calibri" w:hAnsi="Calibri" w:cs="Calibri"/>
          <w:color w:val="363636"/>
          <w:shd w:val="clear" w:color="auto" w:fill="FFFFFF"/>
        </w:rPr>
      </w:pPr>
      <w:r w:rsidRPr="003E25F0">
        <w:rPr>
          <w:rFonts w:ascii="Calibri" w:hAnsi="Calibri" w:cs="Calibri"/>
          <w:color w:val="363636"/>
          <w:shd w:val="clear" w:color="auto" w:fill="FFFFFF"/>
        </w:rPr>
        <w:t>The average monthly payment for a 30-year fixed-rate mortgage rose 46 percent, to $2,045 at the end of 2022 from $1,400 a year earlier, the bureau found. The median price of a single-family home </w:t>
      </w:r>
      <w:hyperlink r:id="rId24" w:anchor=":~:text=NAR%20released%20a%20summary%20of,weakened%201.7%25%20from%20January%202023." w:tgtFrame="_blank" w:history="1">
        <w:r w:rsidRPr="003E25F0">
          <w:rPr>
            <w:rStyle w:val="Hyperlink"/>
            <w:rFonts w:ascii="Calibri" w:hAnsi="Calibri" w:cs="Calibri"/>
            <w:bdr w:val="none" w:sz="0" w:space="0" w:color="auto" w:frame="1"/>
            <w:shd w:val="clear" w:color="auto" w:fill="FFFFFF"/>
          </w:rPr>
          <w:t>in January</w:t>
        </w:r>
      </w:hyperlink>
      <w:r w:rsidRPr="003E25F0">
        <w:rPr>
          <w:rFonts w:ascii="Calibri" w:hAnsi="Calibri" w:cs="Calibri"/>
          <w:color w:val="363636"/>
          <w:shd w:val="clear" w:color="auto" w:fill="FFFFFF"/>
        </w:rPr>
        <w:t> was $383,500, up 5 percent from a year earlier, the National Association of Realtors reported.</w:t>
      </w:r>
      <w:r w:rsidR="00661DA7" w:rsidRPr="00ED2408">
        <w:rPr>
          <w:rFonts w:ascii="Calibri" w:hAnsi="Calibri" w:cs="Calibri"/>
          <w:color w:val="363636"/>
          <w:shd w:val="clear" w:color="auto" w:fill="FFFFFF"/>
        </w:rPr>
        <w:t xml:space="preserve"> </w:t>
      </w:r>
    </w:p>
    <w:p w14:paraId="41FA4C4B" w14:textId="3FDFEC46" w:rsidR="00F37B5B" w:rsidRPr="003E25F0" w:rsidRDefault="001914D1" w:rsidP="00ED2408">
      <w:pPr>
        <w:pStyle w:val="ListParagraph"/>
        <w:numPr>
          <w:ilvl w:val="0"/>
          <w:numId w:val="8"/>
        </w:numPr>
        <w:spacing w:line="240" w:lineRule="auto"/>
        <w:rPr>
          <w:rFonts w:ascii="Calibri" w:hAnsi="Calibri" w:cs="Calibri"/>
          <w:color w:val="363636"/>
          <w:shd w:val="clear" w:color="auto" w:fill="FFFFFF"/>
        </w:rPr>
      </w:pPr>
      <w:r w:rsidRPr="003E25F0">
        <w:rPr>
          <w:rFonts w:ascii="Calibri" w:hAnsi="Calibri" w:cs="Calibri"/>
          <w:color w:val="363636"/>
          <w:shd w:val="clear" w:color="auto" w:fill="FFFFFF"/>
        </w:rPr>
        <w:t xml:space="preserve">The FHFA </w:t>
      </w:r>
      <w:hyperlink r:id="rId25" w:history="1">
        <w:r w:rsidR="006960D2" w:rsidRPr="003E25F0">
          <w:rPr>
            <w:rStyle w:val="Hyperlink"/>
            <w:rFonts w:ascii="Calibri" w:hAnsi="Calibri" w:cs="Calibri"/>
            <w:shd w:val="clear" w:color="auto" w:fill="FFFFFF"/>
          </w:rPr>
          <w:t>H</w:t>
        </w:r>
        <w:r w:rsidR="00F37B5B" w:rsidRPr="003E25F0">
          <w:rPr>
            <w:rStyle w:val="Hyperlink"/>
            <w:rFonts w:ascii="Calibri" w:hAnsi="Calibri" w:cs="Calibri"/>
            <w:shd w:val="clear" w:color="auto" w:fill="FFFFFF"/>
          </w:rPr>
          <w:t xml:space="preserve">ouse </w:t>
        </w:r>
        <w:r w:rsidR="006960D2" w:rsidRPr="003E25F0">
          <w:rPr>
            <w:rStyle w:val="Hyperlink"/>
            <w:rFonts w:ascii="Calibri" w:hAnsi="Calibri" w:cs="Calibri"/>
            <w:shd w:val="clear" w:color="auto" w:fill="FFFFFF"/>
          </w:rPr>
          <w:t>Price Index</w:t>
        </w:r>
      </w:hyperlink>
      <w:r w:rsidR="006960D2" w:rsidRPr="003E25F0">
        <w:rPr>
          <w:rFonts w:ascii="Calibri" w:hAnsi="Calibri" w:cs="Calibri"/>
          <w:color w:val="363636"/>
          <w:shd w:val="clear" w:color="auto" w:fill="FFFFFF"/>
        </w:rPr>
        <w:t xml:space="preserve"> </w:t>
      </w:r>
      <w:r w:rsidR="00F37B5B" w:rsidRPr="003E25F0">
        <w:rPr>
          <w:rFonts w:ascii="Calibri" w:hAnsi="Calibri" w:cs="Calibri"/>
          <w:color w:val="363636"/>
          <w:shd w:val="clear" w:color="auto" w:fill="FFFFFF"/>
        </w:rPr>
        <w:t>is up 6.3 % from April 2023 to April 2024</w:t>
      </w:r>
    </w:p>
    <w:p w14:paraId="0106D604" w14:textId="2C250EC9" w:rsidR="00ED38E3" w:rsidRPr="0016196D" w:rsidRDefault="001B4D58">
      <w:pPr>
        <w:pStyle w:val="ListParagraph"/>
        <w:numPr>
          <w:ilvl w:val="0"/>
          <w:numId w:val="8"/>
        </w:numPr>
        <w:spacing w:line="240" w:lineRule="auto"/>
        <w:rPr>
          <w:rFonts w:ascii="Calibri" w:hAnsi="Calibri" w:cs="Calibri"/>
          <w:color w:val="363636"/>
          <w:shd w:val="clear" w:color="auto" w:fill="FFFFFF"/>
        </w:rPr>
      </w:pPr>
      <w:r w:rsidRPr="004D0CB1">
        <w:rPr>
          <w:rFonts w:ascii="Calibri" w:hAnsi="Calibri" w:cs="Calibri"/>
        </w:rPr>
        <w:t xml:space="preserve">According to </w:t>
      </w:r>
      <w:hyperlink r:id="rId26" w:anchor=":~:text=Average%20origination%20costs%20have%20increased%20by%20~%243%2C000%20per,with%20more%20digitally%20mature%20organizations%20showcasing%20higher%20benefits%2Feficiencies." w:history="1">
        <w:r w:rsidRPr="004D0CB1">
          <w:rPr>
            <w:rStyle w:val="Hyperlink"/>
            <w:rFonts w:ascii="Calibri" w:hAnsi="Calibri" w:cs="Calibri"/>
          </w:rPr>
          <w:t>Freddie Mac’s calculations</w:t>
        </w:r>
      </w:hyperlink>
      <w:r w:rsidRPr="004D0CB1">
        <w:rPr>
          <w:rFonts w:ascii="Calibri" w:hAnsi="Calibri" w:cs="Calibri"/>
        </w:rPr>
        <w:t xml:space="preserve">, average origination costs have gone up </w:t>
      </w:r>
      <w:r w:rsidRPr="004D0CB1">
        <w:rPr>
          <w:rFonts w:ascii="Calibri" w:hAnsi="Calibri" w:cs="Calibri"/>
          <w:b/>
          <w:bCs/>
        </w:rPr>
        <w:t xml:space="preserve">35% </w:t>
      </w:r>
      <w:r w:rsidRPr="004D0CB1">
        <w:rPr>
          <w:rFonts w:ascii="Calibri" w:hAnsi="Calibri" w:cs="Calibri"/>
        </w:rPr>
        <w:t>over the past three years alone</w:t>
      </w:r>
      <w:r w:rsidR="0016196D">
        <w:rPr>
          <w:rFonts w:ascii="Calibri" w:hAnsi="Calibri" w:cs="Calibri"/>
        </w:rPr>
        <w:t>.</w:t>
      </w:r>
    </w:p>
    <w:p w14:paraId="4D0E4D60" w14:textId="7ADC2C92" w:rsidR="0016196D" w:rsidRPr="004D0CB1" w:rsidRDefault="0012588A">
      <w:pPr>
        <w:pStyle w:val="ListParagraph"/>
        <w:numPr>
          <w:ilvl w:val="0"/>
          <w:numId w:val="8"/>
        </w:numPr>
        <w:spacing w:line="240" w:lineRule="auto"/>
        <w:rPr>
          <w:rFonts w:ascii="Calibri" w:hAnsi="Calibri" w:cs="Calibri"/>
          <w:color w:val="363636"/>
          <w:shd w:val="clear" w:color="auto" w:fill="FFFFFF"/>
        </w:rPr>
      </w:pPr>
      <w:hyperlink r:id="rId27" w:history="1">
        <w:r w:rsidR="0016196D" w:rsidRPr="005F7E75">
          <w:rPr>
            <w:rStyle w:val="Hyperlink"/>
            <w:rFonts w:ascii="Calibri" w:hAnsi="Calibri" w:cs="Calibri"/>
          </w:rPr>
          <w:t>Fannie Mae</w:t>
        </w:r>
      </w:hyperlink>
      <w:r w:rsidR="0016196D">
        <w:rPr>
          <w:rFonts w:ascii="Calibri" w:hAnsi="Calibri" w:cs="Calibri"/>
        </w:rPr>
        <w:t xml:space="preserve"> and </w:t>
      </w:r>
      <w:hyperlink r:id="rId28" w:history="1">
        <w:r w:rsidR="0016196D" w:rsidRPr="00881F3B">
          <w:rPr>
            <w:rStyle w:val="Hyperlink"/>
            <w:rFonts w:ascii="Calibri" w:hAnsi="Calibri" w:cs="Calibri"/>
          </w:rPr>
          <w:t>Freddie Mac</w:t>
        </w:r>
      </w:hyperlink>
      <w:r w:rsidR="0016196D">
        <w:rPr>
          <w:rFonts w:ascii="Calibri" w:hAnsi="Calibri" w:cs="Calibri"/>
        </w:rPr>
        <w:t xml:space="preserve"> implemented </w:t>
      </w:r>
      <w:r w:rsidR="00746FEF">
        <w:rPr>
          <w:rFonts w:ascii="Calibri" w:hAnsi="Calibri" w:cs="Calibri"/>
        </w:rPr>
        <w:t xml:space="preserve">new </w:t>
      </w:r>
      <w:r w:rsidR="00301312">
        <w:rPr>
          <w:rFonts w:ascii="Calibri" w:hAnsi="Calibri" w:cs="Calibri"/>
        </w:rPr>
        <w:t xml:space="preserve">loan-level price adjustments </w:t>
      </w:r>
      <w:r w:rsidR="005F7E75">
        <w:rPr>
          <w:rFonts w:ascii="Calibri" w:hAnsi="Calibri" w:cs="Calibri"/>
        </w:rPr>
        <w:t xml:space="preserve">and a redesign of the LLPA pricing structure. </w:t>
      </w:r>
    </w:p>
    <w:p w14:paraId="41976024" w14:textId="77777777" w:rsidR="004D0CB1" w:rsidRPr="00EB316E" w:rsidRDefault="004D0CB1" w:rsidP="003D5FB9">
      <w:pPr>
        <w:spacing w:line="240" w:lineRule="auto"/>
        <w:rPr>
          <w:rFonts w:asciiTheme="minorHAnsi" w:hAnsiTheme="minorHAnsi" w:cstheme="minorHAnsi"/>
          <w:color w:val="363636"/>
          <w:sz w:val="20"/>
          <w:szCs w:val="20"/>
          <w:shd w:val="clear" w:color="auto" w:fill="FFFFFF"/>
        </w:rPr>
      </w:pPr>
    </w:p>
    <w:p w14:paraId="64E31409" w14:textId="2E9C69E6" w:rsidR="00152897" w:rsidRPr="00EB316E" w:rsidRDefault="00ED38E3" w:rsidP="003D5FB9">
      <w:pPr>
        <w:spacing w:line="240" w:lineRule="auto"/>
        <w:rPr>
          <w:rFonts w:asciiTheme="minorHAnsi" w:hAnsiTheme="minorHAnsi" w:cstheme="minorHAnsi"/>
          <w:color w:val="000000" w:themeColor="text1"/>
          <w:shd w:val="clear" w:color="auto" w:fill="FFFFFF"/>
        </w:rPr>
      </w:pPr>
      <w:r w:rsidRPr="00EB316E">
        <w:rPr>
          <w:rFonts w:asciiTheme="minorHAnsi" w:hAnsiTheme="minorHAnsi" w:cstheme="minorHAnsi"/>
          <w:color w:val="000000" w:themeColor="text1"/>
          <w:shd w:val="clear" w:color="auto" w:fill="FFFFFF"/>
        </w:rPr>
        <w:t>The mortgage industry has experienced in a very short time</w:t>
      </w:r>
      <w:r w:rsidR="007164CF" w:rsidRPr="00EB316E">
        <w:rPr>
          <w:rFonts w:asciiTheme="minorHAnsi" w:hAnsiTheme="minorHAnsi" w:cstheme="minorHAnsi"/>
          <w:color w:val="000000" w:themeColor="text1"/>
          <w:shd w:val="clear" w:color="auto" w:fill="FFFFFF"/>
        </w:rPr>
        <w:t xml:space="preserve"> historically increasing home prices, a national housing supply </w:t>
      </w:r>
      <w:r w:rsidR="00181BB0" w:rsidRPr="00EB316E">
        <w:rPr>
          <w:rFonts w:asciiTheme="minorHAnsi" w:hAnsiTheme="minorHAnsi" w:cstheme="minorHAnsi"/>
          <w:color w:val="000000" w:themeColor="text1"/>
          <w:shd w:val="clear" w:color="auto" w:fill="FFFFFF"/>
        </w:rPr>
        <w:t>shortage</w:t>
      </w:r>
      <w:r w:rsidR="007164CF" w:rsidRPr="00EB316E">
        <w:rPr>
          <w:rFonts w:asciiTheme="minorHAnsi" w:hAnsiTheme="minorHAnsi" w:cstheme="minorHAnsi"/>
          <w:color w:val="000000" w:themeColor="text1"/>
          <w:shd w:val="clear" w:color="auto" w:fill="FFFFFF"/>
        </w:rPr>
        <w:t xml:space="preserve">, </w:t>
      </w:r>
      <w:r w:rsidR="00B32B87" w:rsidRPr="00EB316E">
        <w:rPr>
          <w:rFonts w:asciiTheme="minorHAnsi" w:hAnsiTheme="minorHAnsi" w:cstheme="minorHAnsi"/>
          <w:color w:val="000000" w:themeColor="text1"/>
          <w:shd w:val="clear" w:color="auto" w:fill="FFFFFF"/>
        </w:rPr>
        <w:t xml:space="preserve">historically low interest rates that </w:t>
      </w:r>
      <w:r w:rsidR="00A254C8" w:rsidRPr="00EB316E">
        <w:rPr>
          <w:rFonts w:asciiTheme="minorHAnsi" w:hAnsiTheme="minorHAnsi" w:cstheme="minorHAnsi"/>
          <w:color w:val="000000" w:themeColor="text1"/>
          <w:shd w:val="clear" w:color="auto" w:fill="FFFFFF"/>
        </w:rPr>
        <w:t>increased drastically</w:t>
      </w:r>
      <w:r w:rsidR="00181BB0" w:rsidRPr="00EB316E">
        <w:rPr>
          <w:rFonts w:asciiTheme="minorHAnsi" w:hAnsiTheme="minorHAnsi" w:cstheme="minorHAnsi"/>
          <w:color w:val="000000" w:themeColor="text1"/>
          <w:shd w:val="clear" w:color="auto" w:fill="FFFFFF"/>
        </w:rPr>
        <w:t xml:space="preserve">, </w:t>
      </w:r>
      <w:r w:rsidR="00A254C8" w:rsidRPr="00EB316E">
        <w:rPr>
          <w:rFonts w:asciiTheme="minorHAnsi" w:hAnsiTheme="minorHAnsi" w:cstheme="minorHAnsi"/>
          <w:color w:val="000000" w:themeColor="text1"/>
          <w:shd w:val="clear" w:color="auto" w:fill="FFFFFF"/>
        </w:rPr>
        <w:t xml:space="preserve">increased origination costs and a shift to remote work force due to the pandemic. </w:t>
      </w:r>
      <w:r w:rsidR="00484713" w:rsidRPr="00EB316E">
        <w:rPr>
          <w:rFonts w:asciiTheme="minorHAnsi" w:hAnsiTheme="minorHAnsi" w:cstheme="minorHAnsi"/>
          <w:color w:val="000000" w:themeColor="text1"/>
          <w:shd w:val="clear" w:color="auto" w:fill="FFFFFF"/>
        </w:rPr>
        <w:t xml:space="preserve">As a result, </w:t>
      </w:r>
    </w:p>
    <w:p w14:paraId="7B035B37" w14:textId="77777777" w:rsidR="00A254C8" w:rsidRPr="00EB316E" w:rsidRDefault="00A254C8" w:rsidP="003D5FB9">
      <w:pPr>
        <w:spacing w:line="240" w:lineRule="auto"/>
        <w:rPr>
          <w:rFonts w:asciiTheme="minorHAnsi" w:hAnsiTheme="minorHAnsi" w:cstheme="minorHAnsi"/>
          <w:color w:val="000000" w:themeColor="text1"/>
          <w:shd w:val="clear" w:color="auto" w:fill="FFFFFF"/>
        </w:rPr>
      </w:pPr>
    </w:p>
    <w:p w14:paraId="768496CD" w14:textId="130B3AA3" w:rsidR="00152897" w:rsidRPr="00EB316E" w:rsidRDefault="00152897" w:rsidP="003D5FB9">
      <w:pPr>
        <w:numPr>
          <w:ilvl w:val="0"/>
          <w:numId w:val="3"/>
        </w:numPr>
        <w:shd w:val="clear" w:color="auto" w:fill="FFFFFF"/>
        <w:spacing w:line="240" w:lineRule="auto"/>
        <w:ind w:left="1020"/>
        <w:rPr>
          <w:rFonts w:asciiTheme="minorHAnsi" w:eastAsia="Times New Roman" w:hAnsiTheme="minorHAnsi" w:cstheme="minorHAnsi"/>
          <w:color w:val="000000" w:themeColor="text1"/>
        </w:rPr>
      </w:pPr>
      <w:r w:rsidRPr="00EB316E">
        <w:rPr>
          <w:rFonts w:asciiTheme="minorHAnsi" w:eastAsia="Times New Roman" w:hAnsiTheme="minorHAnsi" w:cstheme="minorHAnsi"/>
          <w:color w:val="000000" w:themeColor="text1"/>
        </w:rPr>
        <w:t xml:space="preserve">Lenders </w:t>
      </w:r>
      <w:r w:rsidR="009D05A0" w:rsidRPr="00EB316E">
        <w:rPr>
          <w:rFonts w:asciiTheme="minorHAnsi" w:eastAsia="Times New Roman" w:hAnsiTheme="minorHAnsi" w:cstheme="minorHAnsi"/>
          <w:color w:val="000000" w:themeColor="text1"/>
        </w:rPr>
        <w:t xml:space="preserve">have </w:t>
      </w:r>
      <w:r w:rsidRPr="00EB316E">
        <w:rPr>
          <w:rFonts w:asciiTheme="minorHAnsi" w:eastAsia="Times New Roman" w:hAnsiTheme="minorHAnsi" w:cstheme="minorHAnsi"/>
          <w:color w:val="000000" w:themeColor="text1"/>
        </w:rPr>
        <w:t>increas</w:t>
      </w:r>
      <w:r w:rsidR="009D05A0" w:rsidRPr="00EB316E">
        <w:rPr>
          <w:rFonts w:asciiTheme="minorHAnsi" w:eastAsia="Times New Roman" w:hAnsiTheme="minorHAnsi" w:cstheme="minorHAnsi"/>
          <w:color w:val="000000" w:themeColor="text1"/>
        </w:rPr>
        <w:t xml:space="preserve">ed </w:t>
      </w:r>
      <w:r w:rsidRPr="00EB316E">
        <w:rPr>
          <w:rFonts w:asciiTheme="minorHAnsi" w:eastAsia="Times New Roman" w:hAnsiTheme="minorHAnsi" w:cstheme="minorHAnsi"/>
          <w:color w:val="000000" w:themeColor="text1"/>
        </w:rPr>
        <w:t>fees to offset soaring loan production expenses</w:t>
      </w:r>
    </w:p>
    <w:p w14:paraId="579A2823" w14:textId="115082CB" w:rsidR="00152897" w:rsidRPr="00EB316E" w:rsidRDefault="00152897" w:rsidP="003D5FB9">
      <w:pPr>
        <w:numPr>
          <w:ilvl w:val="0"/>
          <w:numId w:val="3"/>
        </w:numPr>
        <w:shd w:val="clear" w:color="auto" w:fill="FFFFFF"/>
        <w:spacing w:line="240" w:lineRule="auto"/>
        <w:ind w:left="1020"/>
        <w:rPr>
          <w:rFonts w:asciiTheme="minorHAnsi" w:eastAsia="Times New Roman" w:hAnsiTheme="minorHAnsi" w:cstheme="minorHAnsi"/>
          <w:color w:val="000000" w:themeColor="text1"/>
        </w:rPr>
      </w:pPr>
      <w:r w:rsidRPr="00EB316E">
        <w:rPr>
          <w:rFonts w:asciiTheme="minorHAnsi" w:eastAsia="Times New Roman" w:hAnsiTheme="minorHAnsi" w:cstheme="minorHAnsi"/>
          <w:color w:val="000000" w:themeColor="text1"/>
        </w:rPr>
        <w:t xml:space="preserve">Consumers </w:t>
      </w:r>
      <w:r w:rsidR="00194CA7" w:rsidRPr="00EB316E">
        <w:rPr>
          <w:rFonts w:asciiTheme="minorHAnsi" w:eastAsia="Times New Roman" w:hAnsiTheme="minorHAnsi" w:cstheme="minorHAnsi"/>
          <w:color w:val="000000" w:themeColor="text1"/>
        </w:rPr>
        <w:t xml:space="preserve">are </w:t>
      </w:r>
      <w:r w:rsidRPr="00EB316E">
        <w:rPr>
          <w:rFonts w:asciiTheme="minorHAnsi" w:eastAsia="Times New Roman" w:hAnsiTheme="minorHAnsi" w:cstheme="minorHAnsi"/>
          <w:color w:val="000000" w:themeColor="text1"/>
        </w:rPr>
        <w:t>paying discount points and temporary buydown fees to lower interest rates</w:t>
      </w:r>
    </w:p>
    <w:p w14:paraId="5002B5AF" w14:textId="2861B7DB" w:rsidR="00152897" w:rsidRPr="00EB316E" w:rsidRDefault="00152897" w:rsidP="003D5FB9">
      <w:pPr>
        <w:numPr>
          <w:ilvl w:val="0"/>
          <w:numId w:val="3"/>
        </w:numPr>
        <w:shd w:val="clear" w:color="auto" w:fill="FFFFFF"/>
        <w:spacing w:line="240" w:lineRule="auto"/>
        <w:ind w:left="1020"/>
        <w:rPr>
          <w:rFonts w:asciiTheme="minorHAnsi" w:eastAsia="Times New Roman" w:hAnsiTheme="minorHAnsi" w:cstheme="minorHAnsi"/>
          <w:color w:val="000000" w:themeColor="text1"/>
        </w:rPr>
      </w:pPr>
      <w:r w:rsidRPr="00EB316E">
        <w:rPr>
          <w:rFonts w:asciiTheme="minorHAnsi" w:eastAsia="Times New Roman" w:hAnsiTheme="minorHAnsi" w:cstheme="minorHAnsi"/>
          <w:color w:val="000000" w:themeColor="text1"/>
        </w:rPr>
        <w:t xml:space="preserve">Lenders </w:t>
      </w:r>
      <w:r w:rsidR="00837E7F" w:rsidRPr="00EB316E">
        <w:rPr>
          <w:rFonts w:asciiTheme="minorHAnsi" w:eastAsia="Times New Roman" w:hAnsiTheme="minorHAnsi" w:cstheme="minorHAnsi"/>
          <w:color w:val="000000" w:themeColor="text1"/>
        </w:rPr>
        <w:t xml:space="preserve">do not often </w:t>
      </w:r>
      <w:r w:rsidRPr="00EB316E">
        <w:rPr>
          <w:rFonts w:asciiTheme="minorHAnsi" w:eastAsia="Times New Roman" w:hAnsiTheme="minorHAnsi" w:cstheme="minorHAnsi"/>
          <w:color w:val="000000" w:themeColor="text1"/>
        </w:rPr>
        <w:t>pay closing costs in return for charging a higher interest rate</w:t>
      </w:r>
    </w:p>
    <w:p w14:paraId="1300D4CA" w14:textId="47D71623" w:rsidR="00152897" w:rsidRPr="00EB316E" w:rsidRDefault="00152897" w:rsidP="003D5FB9">
      <w:pPr>
        <w:numPr>
          <w:ilvl w:val="0"/>
          <w:numId w:val="3"/>
        </w:numPr>
        <w:shd w:val="clear" w:color="auto" w:fill="FFFFFF"/>
        <w:spacing w:line="240" w:lineRule="auto"/>
        <w:ind w:left="1020"/>
        <w:rPr>
          <w:rFonts w:asciiTheme="minorHAnsi" w:eastAsia="Times New Roman" w:hAnsiTheme="minorHAnsi" w:cstheme="minorHAnsi"/>
          <w:color w:val="000000" w:themeColor="text1"/>
        </w:rPr>
      </w:pPr>
      <w:r w:rsidRPr="00EB316E">
        <w:rPr>
          <w:rFonts w:asciiTheme="minorHAnsi" w:eastAsia="Times New Roman" w:hAnsiTheme="minorHAnsi" w:cstheme="minorHAnsi"/>
          <w:color w:val="000000" w:themeColor="text1"/>
        </w:rPr>
        <w:t>Increase in housing prices leading to higher costs tied to the loan amount or housing price</w:t>
      </w:r>
      <w:r w:rsidR="00837E7F" w:rsidRPr="00EB316E">
        <w:rPr>
          <w:rFonts w:asciiTheme="minorHAnsi" w:eastAsia="Times New Roman" w:hAnsiTheme="minorHAnsi" w:cstheme="minorHAnsi"/>
          <w:color w:val="000000" w:themeColor="text1"/>
        </w:rPr>
        <w:t>.</w:t>
      </w:r>
    </w:p>
    <w:p w14:paraId="3F853EB0" w14:textId="35E6731F" w:rsidR="00837E7F" w:rsidRPr="00EB316E" w:rsidRDefault="00837E7F" w:rsidP="003D5FB9">
      <w:pPr>
        <w:numPr>
          <w:ilvl w:val="0"/>
          <w:numId w:val="3"/>
        </w:numPr>
        <w:shd w:val="clear" w:color="auto" w:fill="FFFFFF"/>
        <w:spacing w:line="240" w:lineRule="auto"/>
        <w:ind w:left="1020"/>
        <w:rPr>
          <w:rFonts w:asciiTheme="minorHAnsi" w:eastAsia="Times New Roman" w:hAnsiTheme="minorHAnsi" w:cstheme="minorHAnsi"/>
          <w:color w:val="000000" w:themeColor="text1"/>
        </w:rPr>
      </w:pPr>
      <w:r w:rsidRPr="00EB316E">
        <w:rPr>
          <w:rFonts w:asciiTheme="minorHAnsi" w:eastAsia="Times New Roman" w:hAnsiTheme="minorHAnsi" w:cstheme="minorHAnsi"/>
          <w:color w:val="000000" w:themeColor="text1"/>
        </w:rPr>
        <w:t xml:space="preserve">Lack of housing </w:t>
      </w:r>
      <w:r w:rsidR="00A672D0" w:rsidRPr="00EB316E">
        <w:rPr>
          <w:rFonts w:asciiTheme="minorHAnsi" w:eastAsia="Times New Roman" w:hAnsiTheme="minorHAnsi" w:cstheme="minorHAnsi"/>
          <w:color w:val="000000" w:themeColor="text1"/>
        </w:rPr>
        <w:t xml:space="preserve">has increased the cost to purchase a home. </w:t>
      </w:r>
      <w:r w:rsidRPr="00EB316E">
        <w:rPr>
          <w:rFonts w:asciiTheme="minorHAnsi" w:eastAsia="Times New Roman" w:hAnsiTheme="minorHAnsi" w:cstheme="minorHAnsi"/>
          <w:color w:val="000000" w:themeColor="text1"/>
        </w:rPr>
        <w:t xml:space="preserve"> </w:t>
      </w:r>
    </w:p>
    <w:p w14:paraId="21F01789" w14:textId="77777777" w:rsidR="00152897" w:rsidRPr="00EB316E" w:rsidRDefault="00152897" w:rsidP="003D5FB9">
      <w:pPr>
        <w:numPr>
          <w:ilvl w:val="0"/>
          <w:numId w:val="3"/>
        </w:numPr>
        <w:shd w:val="clear" w:color="auto" w:fill="FFFFFF"/>
        <w:spacing w:line="240" w:lineRule="auto"/>
        <w:ind w:left="1020"/>
        <w:rPr>
          <w:rFonts w:asciiTheme="minorHAnsi" w:eastAsia="Times New Roman" w:hAnsiTheme="minorHAnsi" w:cstheme="minorHAnsi"/>
          <w:color w:val="000000" w:themeColor="text1"/>
        </w:rPr>
      </w:pPr>
      <w:r w:rsidRPr="00EB316E">
        <w:rPr>
          <w:rFonts w:asciiTheme="minorHAnsi" w:eastAsia="Times New Roman" w:hAnsiTheme="minorHAnsi" w:cstheme="minorHAnsi"/>
          <w:color w:val="000000" w:themeColor="text1"/>
        </w:rPr>
        <w:t>Overall costs increasing due to inflation.</w:t>
      </w:r>
    </w:p>
    <w:p w14:paraId="1AAA4437" w14:textId="7010085A" w:rsidR="00227EA3" w:rsidRPr="00EB316E" w:rsidRDefault="00227EA3" w:rsidP="003D5FB9">
      <w:pPr>
        <w:numPr>
          <w:ilvl w:val="0"/>
          <w:numId w:val="3"/>
        </w:numPr>
        <w:shd w:val="clear" w:color="auto" w:fill="FFFFFF"/>
        <w:spacing w:line="240" w:lineRule="auto"/>
        <w:ind w:left="1020"/>
        <w:rPr>
          <w:rFonts w:asciiTheme="minorHAnsi" w:eastAsia="Times New Roman" w:hAnsiTheme="minorHAnsi" w:cstheme="minorHAnsi"/>
          <w:color w:val="000000" w:themeColor="text1"/>
        </w:rPr>
      </w:pPr>
      <w:r w:rsidRPr="00EB316E">
        <w:rPr>
          <w:rFonts w:asciiTheme="minorHAnsi" w:eastAsia="Times New Roman" w:hAnsiTheme="minorHAnsi" w:cstheme="minorHAnsi"/>
          <w:color w:val="000000" w:themeColor="text1"/>
        </w:rPr>
        <w:t xml:space="preserve">Third-party vendor price increases that are passed along to consumers. </w:t>
      </w:r>
    </w:p>
    <w:p w14:paraId="12C3A78F" w14:textId="77777777" w:rsidR="00152897" w:rsidRPr="003825BB" w:rsidRDefault="00152897" w:rsidP="003D5FB9">
      <w:pPr>
        <w:spacing w:line="240" w:lineRule="auto"/>
        <w:rPr>
          <w:rFonts w:ascii="Calibri" w:hAnsi="Calibri" w:cs="Calibri"/>
          <w:sz w:val="20"/>
          <w:szCs w:val="20"/>
        </w:rPr>
      </w:pPr>
    </w:p>
    <w:p w14:paraId="49FB660A" w14:textId="4A6D3CF8" w:rsidR="00D72B47" w:rsidRDefault="00576B9C" w:rsidP="003D5FB9">
      <w:pPr>
        <w:spacing w:line="240" w:lineRule="auto"/>
        <w:rPr>
          <w:rFonts w:ascii="Calibri" w:hAnsi="Calibri" w:cs="Calibri"/>
          <w:color w:val="1A1D26"/>
          <w:shd w:val="clear" w:color="auto" w:fill="FFFFFF"/>
        </w:rPr>
      </w:pPr>
      <w:r w:rsidRPr="00AA08F8">
        <w:rPr>
          <w:rFonts w:ascii="Calibri" w:hAnsi="Calibri" w:cs="Calibri"/>
          <w:color w:val="1A1D26"/>
          <w:shd w:val="clear" w:color="auto" w:fill="FFFFFF"/>
        </w:rPr>
        <w:t>All</w:t>
      </w:r>
      <w:r w:rsidR="00FA7C9B" w:rsidRPr="00AA08F8">
        <w:rPr>
          <w:rFonts w:ascii="Calibri" w:hAnsi="Calibri" w:cs="Calibri"/>
          <w:color w:val="1A1D26"/>
          <w:shd w:val="clear" w:color="auto" w:fill="FFFFFF"/>
        </w:rPr>
        <w:t xml:space="preserve"> these factors contribute to increased closing costs for a consumer. If home prices increase, </w:t>
      </w:r>
      <w:r w:rsidR="00376F03" w:rsidRPr="00AA08F8">
        <w:rPr>
          <w:rFonts w:ascii="Calibri" w:hAnsi="Calibri" w:cs="Calibri"/>
          <w:color w:val="1A1D26"/>
          <w:shd w:val="clear" w:color="auto" w:fill="FFFFFF"/>
        </w:rPr>
        <w:t>so does the mortgage</w:t>
      </w:r>
      <w:r w:rsidR="001D311E" w:rsidRPr="00AA08F8">
        <w:rPr>
          <w:rFonts w:ascii="Calibri" w:hAnsi="Calibri" w:cs="Calibri"/>
          <w:color w:val="1A1D26"/>
          <w:shd w:val="clear" w:color="auto" w:fill="FFFFFF"/>
        </w:rPr>
        <w:t xml:space="preserve"> amount. If interest rates are higher, that </w:t>
      </w:r>
      <w:r w:rsidR="00D63F61" w:rsidRPr="00AA08F8">
        <w:rPr>
          <w:rFonts w:ascii="Calibri" w:hAnsi="Calibri" w:cs="Calibri"/>
          <w:color w:val="1A1D26"/>
          <w:shd w:val="clear" w:color="auto" w:fill="FFFFFF"/>
        </w:rPr>
        <w:t xml:space="preserve">makes qualifying for a mortgage more difficult and </w:t>
      </w:r>
      <w:r w:rsidR="001D1276" w:rsidRPr="00AA08F8">
        <w:rPr>
          <w:rFonts w:ascii="Calibri" w:hAnsi="Calibri" w:cs="Calibri"/>
          <w:color w:val="1A1D26"/>
          <w:shd w:val="clear" w:color="auto" w:fill="FFFFFF"/>
        </w:rPr>
        <w:t xml:space="preserve">the potential to absorb closing costs </w:t>
      </w:r>
      <w:r w:rsidR="002917B5" w:rsidRPr="00AA08F8">
        <w:rPr>
          <w:rFonts w:ascii="Calibri" w:hAnsi="Calibri" w:cs="Calibri"/>
          <w:color w:val="1A1D26"/>
          <w:shd w:val="clear" w:color="auto" w:fill="FFFFFF"/>
        </w:rPr>
        <w:t xml:space="preserve">into the interest rate. Until </w:t>
      </w:r>
      <w:r w:rsidR="00B54830" w:rsidRPr="00AA08F8">
        <w:rPr>
          <w:rFonts w:ascii="Calibri" w:hAnsi="Calibri" w:cs="Calibri"/>
          <w:color w:val="1A1D26"/>
          <w:shd w:val="clear" w:color="auto" w:fill="FFFFFF"/>
        </w:rPr>
        <w:t xml:space="preserve">we can solve the housing crisis, we will continue to see </w:t>
      </w:r>
      <w:r w:rsidR="005F5F98" w:rsidRPr="00AA08F8">
        <w:rPr>
          <w:rFonts w:ascii="Calibri" w:hAnsi="Calibri" w:cs="Calibri"/>
          <w:color w:val="1A1D26"/>
          <w:shd w:val="clear" w:color="auto" w:fill="FFFFFF"/>
        </w:rPr>
        <w:t xml:space="preserve">consumers experiencing higher closing costs </w:t>
      </w:r>
      <w:r w:rsidR="00D72B47" w:rsidRPr="00AA08F8">
        <w:rPr>
          <w:rFonts w:ascii="Calibri" w:hAnsi="Calibri" w:cs="Calibri"/>
          <w:color w:val="1A1D26"/>
          <w:shd w:val="clear" w:color="auto" w:fill="FFFFFF"/>
        </w:rPr>
        <w:t xml:space="preserve">and </w:t>
      </w:r>
      <w:r w:rsidR="00AA08F8" w:rsidRPr="00AA08F8">
        <w:rPr>
          <w:rFonts w:ascii="Calibri" w:hAnsi="Calibri" w:cs="Calibri"/>
          <w:color w:val="1A1D26"/>
          <w:shd w:val="clear" w:color="auto" w:fill="FFFFFF"/>
        </w:rPr>
        <w:t>finding it</w:t>
      </w:r>
      <w:r w:rsidR="00D72B47" w:rsidRPr="00AA08F8">
        <w:rPr>
          <w:rFonts w:ascii="Calibri" w:hAnsi="Calibri" w:cs="Calibri"/>
          <w:color w:val="1A1D26"/>
          <w:shd w:val="clear" w:color="auto" w:fill="FFFFFF"/>
        </w:rPr>
        <w:t xml:space="preserve"> more difficult to achieve the goal of homeownership.</w:t>
      </w:r>
    </w:p>
    <w:p w14:paraId="7113B46D" w14:textId="77777777" w:rsidR="00261720" w:rsidRPr="00902805" w:rsidRDefault="00261720" w:rsidP="003D5FB9">
      <w:pPr>
        <w:spacing w:line="240" w:lineRule="auto"/>
        <w:rPr>
          <w:rFonts w:ascii="Calibri" w:hAnsi="Calibri" w:cs="Calibri"/>
          <w:color w:val="1A1D26"/>
          <w:sz w:val="20"/>
          <w:szCs w:val="20"/>
          <w:shd w:val="clear" w:color="auto" w:fill="FFFFFF"/>
        </w:rPr>
      </w:pPr>
    </w:p>
    <w:p w14:paraId="287BCDEE" w14:textId="3E3A6B0B" w:rsidR="00227EA3" w:rsidRDefault="00AB33AD" w:rsidP="003D5FB9">
      <w:pPr>
        <w:spacing w:line="240" w:lineRule="auto"/>
        <w:rPr>
          <w:rFonts w:ascii="Calibri" w:hAnsi="Calibri" w:cs="Calibri"/>
          <w:color w:val="1A1D26"/>
          <w:shd w:val="clear" w:color="auto" w:fill="FFFFFF"/>
        </w:rPr>
      </w:pPr>
      <w:r>
        <w:rPr>
          <w:rFonts w:ascii="Calibri" w:hAnsi="Calibri" w:cs="Calibri"/>
          <w:color w:val="1A1D26"/>
          <w:shd w:val="clear" w:color="auto" w:fill="FFFFFF"/>
        </w:rPr>
        <w:t>Empl</w:t>
      </w:r>
      <w:r w:rsidR="00D36699">
        <w:rPr>
          <w:rFonts w:ascii="Calibri" w:hAnsi="Calibri" w:cs="Calibri"/>
          <w:color w:val="1A1D26"/>
          <w:shd w:val="clear" w:color="auto" w:fill="FFFFFF"/>
        </w:rPr>
        <w:t>o</w:t>
      </w:r>
      <w:r>
        <w:rPr>
          <w:rFonts w:ascii="Calibri" w:hAnsi="Calibri" w:cs="Calibri"/>
          <w:color w:val="1A1D26"/>
          <w:shd w:val="clear" w:color="auto" w:fill="FFFFFF"/>
        </w:rPr>
        <w:t xml:space="preserve">yment verification costs: </w:t>
      </w:r>
    </w:p>
    <w:p w14:paraId="18C04795" w14:textId="60905D09" w:rsidR="0087485E" w:rsidRDefault="00AB33AD" w:rsidP="003D5FB9">
      <w:pPr>
        <w:spacing w:line="240" w:lineRule="auto"/>
        <w:rPr>
          <w:rFonts w:ascii="Calibri" w:hAnsi="Calibri" w:cs="Calibri"/>
          <w:color w:val="1A1D26"/>
          <w:shd w:val="clear" w:color="auto" w:fill="FFFFFF"/>
        </w:rPr>
      </w:pPr>
      <w:r>
        <w:rPr>
          <w:rFonts w:ascii="Calibri" w:hAnsi="Calibri" w:cs="Calibri"/>
          <w:color w:val="1A1D26"/>
          <w:shd w:val="clear" w:color="auto" w:fill="FFFFFF"/>
        </w:rPr>
        <w:t xml:space="preserve">As an example of </w:t>
      </w:r>
      <w:r w:rsidR="00336456">
        <w:rPr>
          <w:rFonts w:ascii="Calibri" w:hAnsi="Calibri" w:cs="Calibri"/>
          <w:color w:val="1A1D26"/>
          <w:shd w:val="clear" w:color="auto" w:fill="FFFFFF"/>
        </w:rPr>
        <w:t xml:space="preserve">third-party </w:t>
      </w:r>
      <w:r>
        <w:rPr>
          <w:rFonts w:ascii="Calibri" w:hAnsi="Calibri" w:cs="Calibri"/>
          <w:color w:val="1A1D26"/>
          <w:shd w:val="clear" w:color="auto" w:fill="FFFFFF"/>
        </w:rPr>
        <w:t>rising closing costs</w:t>
      </w:r>
      <w:r w:rsidR="00D36699">
        <w:rPr>
          <w:rFonts w:ascii="Calibri" w:hAnsi="Calibri" w:cs="Calibri"/>
          <w:color w:val="1A1D26"/>
          <w:shd w:val="clear" w:color="auto" w:fill="FFFFFF"/>
        </w:rPr>
        <w:t xml:space="preserve"> that are</w:t>
      </w:r>
      <w:r w:rsidR="00336456">
        <w:rPr>
          <w:rFonts w:ascii="Calibri" w:hAnsi="Calibri" w:cs="Calibri"/>
          <w:color w:val="1A1D26"/>
          <w:shd w:val="clear" w:color="auto" w:fill="FFFFFF"/>
        </w:rPr>
        <w:t xml:space="preserve"> passed along to consumers, the average increase in employment verifications </w:t>
      </w:r>
      <w:r w:rsidR="00871469">
        <w:rPr>
          <w:rFonts w:ascii="Calibri" w:hAnsi="Calibri" w:cs="Calibri"/>
          <w:color w:val="1A1D26"/>
          <w:shd w:val="clear" w:color="auto" w:fill="FFFFFF"/>
        </w:rPr>
        <w:t xml:space="preserve">have increased </w:t>
      </w:r>
      <w:r w:rsidR="00F86555">
        <w:rPr>
          <w:rFonts w:ascii="Calibri" w:hAnsi="Calibri" w:cs="Calibri"/>
          <w:color w:val="1A1D26"/>
          <w:shd w:val="clear" w:color="auto" w:fill="FFFFFF"/>
        </w:rPr>
        <w:t xml:space="preserve">over </w:t>
      </w:r>
      <w:r w:rsidR="00871469">
        <w:rPr>
          <w:rFonts w:ascii="Calibri" w:hAnsi="Calibri" w:cs="Calibri"/>
          <w:color w:val="1A1D26"/>
          <w:shd w:val="clear" w:color="auto" w:fill="FFFFFF"/>
        </w:rPr>
        <w:t>300% since 2018</w:t>
      </w:r>
      <w:r w:rsidR="00F41FEC">
        <w:rPr>
          <w:rFonts w:ascii="Calibri" w:hAnsi="Calibri" w:cs="Calibri"/>
          <w:color w:val="1A1D26"/>
          <w:shd w:val="clear" w:color="auto" w:fill="FFFFFF"/>
        </w:rPr>
        <w:t xml:space="preserve"> as reported by our members</w:t>
      </w:r>
      <w:r w:rsidR="001C2AFB">
        <w:rPr>
          <w:rFonts w:ascii="Calibri" w:hAnsi="Calibri" w:cs="Calibri"/>
          <w:color w:val="1A1D26"/>
          <w:shd w:val="clear" w:color="auto" w:fill="FFFFFF"/>
        </w:rPr>
        <w:t xml:space="preserve"> when solicited for input for this RFI response. </w:t>
      </w:r>
      <w:r w:rsidR="00F41FEC">
        <w:rPr>
          <w:rFonts w:ascii="Calibri" w:hAnsi="Calibri" w:cs="Calibri"/>
          <w:color w:val="1A1D26"/>
          <w:shd w:val="clear" w:color="auto" w:fill="FFFFFF"/>
        </w:rPr>
        <w:t xml:space="preserve"> </w:t>
      </w:r>
    </w:p>
    <w:p w14:paraId="059AFDE0" w14:textId="77777777" w:rsidR="0087485E" w:rsidRPr="00902805" w:rsidRDefault="0087485E" w:rsidP="003D5FB9">
      <w:pPr>
        <w:spacing w:line="240" w:lineRule="auto"/>
        <w:rPr>
          <w:rFonts w:ascii="Calibri" w:hAnsi="Calibri" w:cs="Calibri"/>
          <w:color w:val="1A1D26"/>
          <w:sz w:val="20"/>
          <w:szCs w:val="20"/>
          <w:shd w:val="clear" w:color="auto" w:fill="FFFFFF"/>
        </w:rPr>
      </w:pPr>
    </w:p>
    <w:p w14:paraId="75521EFF" w14:textId="7DDA2C67" w:rsidR="00B3453A" w:rsidRDefault="00824658" w:rsidP="003D5FB9">
      <w:pPr>
        <w:spacing w:line="240" w:lineRule="auto"/>
        <w:rPr>
          <w:rFonts w:ascii="Calibri" w:hAnsi="Calibri" w:cs="Calibri"/>
          <w:color w:val="1A1D26"/>
          <w:shd w:val="clear" w:color="auto" w:fill="FFFFFF"/>
        </w:rPr>
      </w:pPr>
      <w:r>
        <w:rPr>
          <w:rFonts w:ascii="Calibri" w:hAnsi="Calibri" w:cs="Calibri"/>
          <w:color w:val="1A1D26"/>
          <w:shd w:val="clear" w:color="auto" w:fill="FFFFFF"/>
        </w:rPr>
        <w:t xml:space="preserve">For those </w:t>
      </w:r>
      <w:r w:rsidR="00107613">
        <w:rPr>
          <w:rFonts w:ascii="Calibri" w:hAnsi="Calibri" w:cs="Calibri"/>
          <w:color w:val="1A1D26"/>
          <w:shd w:val="clear" w:color="auto" w:fill="FFFFFF"/>
        </w:rPr>
        <w:t xml:space="preserve">lenders and consumers that do not use automated </w:t>
      </w:r>
      <w:r w:rsidR="00DD1927">
        <w:rPr>
          <w:rFonts w:ascii="Calibri" w:hAnsi="Calibri" w:cs="Calibri"/>
          <w:color w:val="1A1D26"/>
          <w:shd w:val="clear" w:color="auto" w:fill="FFFFFF"/>
        </w:rPr>
        <w:t xml:space="preserve">verification by analyzing </w:t>
      </w:r>
      <w:r w:rsidR="00B5083C">
        <w:rPr>
          <w:rFonts w:ascii="Calibri" w:hAnsi="Calibri" w:cs="Calibri"/>
          <w:color w:val="1A1D26"/>
          <w:shd w:val="clear" w:color="auto" w:fill="FFFFFF"/>
        </w:rPr>
        <w:t>bank statements information</w:t>
      </w:r>
      <w:r w:rsidR="00803770">
        <w:rPr>
          <w:rFonts w:ascii="Calibri" w:hAnsi="Calibri" w:cs="Calibri"/>
          <w:color w:val="1A1D26"/>
          <w:shd w:val="clear" w:color="auto" w:fill="FFFFFF"/>
        </w:rPr>
        <w:t xml:space="preserve"> through Fannie Mae and Freddie Mac</w:t>
      </w:r>
      <w:r w:rsidR="00B5083C">
        <w:rPr>
          <w:rFonts w:ascii="Calibri" w:hAnsi="Calibri" w:cs="Calibri"/>
          <w:color w:val="1A1D26"/>
          <w:shd w:val="clear" w:color="auto" w:fill="FFFFFF"/>
        </w:rPr>
        <w:t xml:space="preserve">, </w:t>
      </w:r>
      <w:r w:rsidR="009F0DBD">
        <w:rPr>
          <w:rFonts w:ascii="Calibri" w:hAnsi="Calibri" w:cs="Calibri"/>
          <w:color w:val="1A1D26"/>
          <w:shd w:val="clear" w:color="auto" w:fill="FFFFFF"/>
        </w:rPr>
        <w:t xml:space="preserve">the cost of using a third-part provider such as the Work </w:t>
      </w:r>
      <w:r w:rsidR="009F0DBD">
        <w:rPr>
          <w:rFonts w:ascii="Calibri" w:hAnsi="Calibri" w:cs="Calibri"/>
          <w:color w:val="1A1D26"/>
          <w:shd w:val="clear" w:color="auto" w:fill="FFFFFF"/>
        </w:rPr>
        <w:lastRenderedPageBreak/>
        <w:t xml:space="preserve">Number </w:t>
      </w:r>
      <w:r w:rsidR="00542AA6">
        <w:rPr>
          <w:rFonts w:ascii="Calibri" w:hAnsi="Calibri" w:cs="Calibri"/>
          <w:color w:val="1A1D26"/>
          <w:shd w:val="clear" w:color="auto" w:fill="FFFFFF"/>
        </w:rPr>
        <w:t xml:space="preserve">to verify (and then re-verify) employment </w:t>
      </w:r>
      <w:r w:rsidR="00AB1D92">
        <w:rPr>
          <w:rFonts w:ascii="Calibri" w:hAnsi="Calibri" w:cs="Calibri"/>
          <w:color w:val="1A1D26"/>
          <w:shd w:val="clear" w:color="auto" w:fill="FFFFFF"/>
        </w:rPr>
        <w:t xml:space="preserve">could cost consumers an average of $120 per </w:t>
      </w:r>
      <w:r w:rsidR="000B4712">
        <w:rPr>
          <w:rFonts w:ascii="Calibri" w:hAnsi="Calibri" w:cs="Calibri"/>
          <w:color w:val="1A1D26"/>
          <w:shd w:val="clear" w:color="auto" w:fill="FFFFFF"/>
        </w:rPr>
        <w:t xml:space="preserve">job. </w:t>
      </w:r>
      <w:r w:rsidR="003B35E0">
        <w:rPr>
          <w:rFonts w:ascii="Calibri" w:hAnsi="Calibri" w:cs="Calibri"/>
          <w:color w:val="1A1D26"/>
          <w:shd w:val="clear" w:color="auto" w:fill="FFFFFF"/>
        </w:rPr>
        <w:t>Typically,</w:t>
      </w:r>
      <w:r w:rsidR="00FD48A9">
        <w:rPr>
          <w:rFonts w:ascii="Calibri" w:hAnsi="Calibri" w:cs="Calibri"/>
          <w:color w:val="1A1D26"/>
          <w:shd w:val="clear" w:color="auto" w:fill="FFFFFF"/>
        </w:rPr>
        <w:t xml:space="preserve"> the underwriting process would need to verify employment and income </w:t>
      </w:r>
      <w:r w:rsidR="000260EF">
        <w:rPr>
          <w:rFonts w:ascii="Calibri" w:hAnsi="Calibri" w:cs="Calibri"/>
          <w:color w:val="1A1D26"/>
          <w:shd w:val="clear" w:color="auto" w:fill="FFFFFF"/>
        </w:rPr>
        <w:t xml:space="preserve">prior to loan approval, and again </w:t>
      </w:r>
      <w:r w:rsidR="00902805">
        <w:rPr>
          <w:rFonts w:ascii="Calibri" w:hAnsi="Calibri" w:cs="Calibri"/>
          <w:color w:val="1A1D26"/>
          <w:shd w:val="clear" w:color="auto" w:fill="FFFFFF"/>
        </w:rPr>
        <w:t>a few</w:t>
      </w:r>
      <w:r w:rsidR="000260EF">
        <w:rPr>
          <w:rFonts w:ascii="Calibri" w:hAnsi="Calibri" w:cs="Calibri"/>
          <w:color w:val="1A1D26"/>
          <w:shd w:val="clear" w:color="auto" w:fill="FFFFFF"/>
        </w:rPr>
        <w:t xml:space="preserve"> days before consummation</w:t>
      </w:r>
      <w:r w:rsidR="007646B1">
        <w:rPr>
          <w:rFonts w:ascii="Calibri" w:hAnsi="Calibri" w:cs="Calibri"/>
          <w:color w:val="1A1D26"/>
          <w:shd w:val="clear" w:color="auto" w:fill="FFFFFF"/>
        </w:rPr>
        <w:t xml:space="preserve"> to verify the borrower is still employed. </w:t>
      </w:r>
      <w:r w:rsidR="0010380B">
        <w:rPr>
          <w:rFonts w:ascii="Calibri" w:hAnsi="Calibri" w:cs="Calibri"/>
          <w:color w:val="1A1D26"/>
          <w:shd w:val="clear" w:color="auto" w:fill="FFFFFF"/>
        </w:rPr>
        <w:t xml:space="preserve">The initial third-party verification and then a subsequent employment refresh </w:t>
      </w:r>
      <w:r w:rsidR="00902805">
        <w:rPr>
          <w:rFonts w:ascii="Calibri" w:hAnsi="Calibri" w:cs="Calibri"/>
          <w:color w:val="1A1D26"/>
          <w:shd w:val="clear" w:color="auto" w:fill="FFFFFF"/>
        </w:rPr>
        <w:t xml:space="preserve">are the same cost. </w:t>
      </w:r>
      <w:r w:rsidR="000260EF">
        <w:rPr>
          <w:rFonts w:ascii="Calibri" w:hAnsi="Calibri" w:cs="Calibri"/>
          <w:color w:val="1A1D26"/>
          <w:shd w:val="clear" w:color="auto" w:fill="FFFFFF"/>
        </w:rPr>
        <w:t xml:space="preserve"> </w:t>
      </w:r>
      <w:r w:rsidR="00B3453A">
        <w:rPr>
          <w:rFonts w:ascii="Calibri" w:hAnsi="Calibri" w:cs="Calibri"/>
          <w:color w:val="1A1D26"/>
          <w:shd w:val="clear" w:color="auto" w:fill="FFFFFF"/>
        </w:rPr>
        <w:t xml:space="preserve">The loan verification costs are passed along to the consumer. </w:t>
      </w:r>
    </w:p>
    <w:p w14:paraId="36D590FE" w14:textId="77777777" w:rsidR="00B3453A" w:rsidRPr="00F86555" w:rsidRDefault="00B3453A" w:rsidP="003D5FB9">
      <w:pPr>
        <w:spacing w:line="240" w:lineRule="auto"/>
        <w:rPr>
          <w:rFonts w:ascii="Calibri" w:hAnsi="Calibri" w:cs="Calibri"/>
          <w:color w:val="1A1D26"/>
          <w:sz w:val="20"/>
          <w:szCs w:val="20"/>
          <w:shd w:val="clear" w:color="auto" w:fill="FFFFFF"/>
        </w:rPr>
      </w:pPr>
    </w:p>
    <w:p w14:paraId="323B4BC0" w14:textId="45D69728" w:rsidR="00AB33AD" w:rsidRDefault="005B3D9F" w:rsidP="003D5FB9">
      <w:pPr>
        <w:spacing w:line="240" w:lineRule="auto"/>
        <w:rPr>
          <w:rFonts w:ascii="Calibri" w:hAnsi="Calibri" w:cs="Calibri"/>
          <w:color w:val="1A1D26"/>
          <w:shd w:val="clear" w:color="auto" w:fill="FFFFFF"/>
        </w:rPr>
      </w:pPr>
      <w:r>
        <w:rPr>
          <w:rFonts w:ascii="Calibri" w:hAnsi="Calibri" w:cs="Calibri"/>
          <w:color w:val="1A1D26"/>
          <w:shd w:val="clear" w:color="auto" w:fill="FFFFFF"/>
        </w:rPr>
        <w:t xml:space="preserve">By regulation, </w:t>
      </w:r>
      <w:r w:rsidR="00680712">
        <w:rPr>
          <w:rFonts w:ascii="Calibri" w:hAnsi="Calibri" w:cs="Calibri"/>
          <w:color w:val="1A1D26"/>
          <w:shd w:val="clear" w:color="auto" w:fill="FFFFFF"/>
        </w:rPr>
        <w:t xml:space="preserve">lenders are only disclosing and charging the exact third-party fees on the Loan Estimate and Closing Disclosure. </w:t>
      </w:r>
      <w:r w:rsidR="001E2463">
        <w:rPr>
          <w:rFonts w:ascii="Calibri" w:hAnsi="Calibri" w:cs="Calibri"/>
          <w:color w:val="1A1D26"/>
          <w:shd w:val="clear" w:color="auto" w:fill="FFFFFF"/>
        </w:rPr>
        <w:t>Regulatory examinations ensure that lenders are adhering to this</w:t>
      </w:r>
      <w:r w:rsidR="00C92B93">
        <w:rPr>
          <w:rFonts w:ascii="Calibri" w:hAnsi="Calibri" w:cs="Calibri"/>
          <w:color w:val="1A1D26"/>
          <w:shd w:val="clear" w:color="auto" w:fill="FFFFFF"/>
        </w:rPr>
        <w:t xml:space="preserve">. </w:t>
      </w:r>
      <w:r w:rsidR="000E60A6">
        <w:rPr>
          <w:rFonts w:ascii="Calibri" w:hAnsi="Calibri" w:cs="Calibri"/>
          <w:color w:val="1A1D26"/>
          <w:shd w:val="clear" w:color="auto" w:fill="FFFFFF"/>
        </w:rPr>
        <w:t xml:space="preserve">For a two-person </w:t>
      </w:r>
      <w:r w:rsidR="006C79B1">
        <w:rPr>
          <w:rFonts w:ascii="Calibri" w:hAnsi="Calibri" w:cs="Calibri"/>
          <w:color w:val="1A1D26"/>
          <w:shd w:val="clear" w:color="auto" w:fill="FFFFFF"/>
        </w:rPr>
        <w:t xml:space="preserve">mortgage application where each applicant has a salaried </w:t>
      </w:r>
      <w:r w:rsidR="00B86265">
        <w:rPr>
          <w:rFonts w:ascii="Calibri" w:hAnsi="Calibri" w:cs="Calibri"/>
          <w:color w:val="1A1D26"/>
          <w:shd w:val="clear" w:color="auto" w:fill="FFFFFF"/>
        </w:rPr>
        <w:t xml:space="preserve">job and perhaps one applicant has a second job, the cost of the employment verification alone could be $360. </w:t>
      </w:r>
      <w:r w:rsidR="00B95FD2">
        <w:rPr>
          <w:rFonts w:ascii="Calibri" w:hAnsi="Calibri" w:cs="Calibri"/>
          <w:color w:val="1A1D26"/>
          <w:shd w:val="clear" w:color="auto" w:fill="FFFFFF"/>
        </w:rPr>
        <w:t xml:space="preserve">A large percentage </w:t>
      </w:r>
      <w:r w:rsidR="00FE43EF">
        <w:rPr>
          <w:rFonts w:ascii="Calibri" w:hAnsi="Calibri" w:cs="Calibri"/>
          <w:color w:val="1A1D26"/>
          <w:shd w:val="clear" w:color="auto" w:fill="FFFFFF"/>
        </w:rPr>
        <w:t xml:space="preserve">of employers use </w:t>
      </w:r>
      <w:r w:rsidR="00F91197">
        <w:rPr>
          <w:rFonts w:ascii="Calibri" w:hAnsi="Calibri" w:cs="Calibri"/>
          <w:color w:val="1A1D26"/>
          <w:shd w:val="clear" w:color="auto" w:fill="FFFFFF"/>
        </w:rPr>
        <w:t xml:space="preserve">a third party such as the </w:t>
      </w:r>
      <w:r w:rsidR="00FE43EF">
        <w:rPr>
          <w:rFonts w:ascii="Calibri" w:hAnsi="Calibri" w:cs="Calibri"/>
          <w:color w:val="1A1D26"/>
          <w:shd w:val="clear" w:color="auto" w:fill="FFFFFF"/>
        </w:rPr>
        <w:t xml:space="preserve">Work Number to </w:t>
      </w:r>
      <w:r w:rsidR="00B95FD2">
        <w:rPr>
          <w:rFonts w:ascii="Calibri" w:hAnsi="Calibri" w:cs="Calibri"/>
          <w:color w:val="1A1D26"/>
          <w:shd w:val="clear" w:color="auto" w:fill="FFFFFF"/>
        </w:rPr>
        <w:t>verify employment</w:t>
      </w:r>
      <w:r w:rsidR="00F91197">
        <w:rPr>
          <w:rFonts w:ascii="Calibri" w:hAnsi="Calibri" w:cs="Calibri"/>
          <w:color w:val="1A1D26"/>
          <w:shd w:val="clear" w:color="auto" w:fill="FFFFFF"/>
        </w:rPr>
        <w:t xml:space="preserve"> instead of completing Verification of Employment forms. </w:t>
      </w:r>
      <w:r w:rsidR="000D677E">
        <w:rPr>
          <w:rFonts w:ascii="Calibri" w:hAnsi="Calibri" w:cs="Calibri"/>
          <w:color w:val="1A1D26"/>
          <w:shd w:val="clear" w:color="auto" w:fill="FFFFFF"/>
        </w:rPr>
        <w:t>Although this has decreased employment and income fraud, it has</w:t>
      </w:r>
      <w:r w:rsidR="00A97776">
        <w:rPr>
          <w:rFonts w:ascii="Calibri" w:hAnsi="Calibri" w:cs="Calibri"/>
          <w:color w:val="1A1D26"/>
          <w:shd w:val="clear" w:color="auto" w:fill="FFFFFF"/>
        </w:rPr>
        <w:t xml:space="preserve"> contributed to </w:t>
      </w:r>
      <w:r w:rsidR="000D677E">
        <w:rPr>
          <w:rFonts w:ascii="Calibri" w:hAnsi="Calibri" w:cs="Calibri"/>
          <w:color w:val="1A1D26"/>
          <w:shd w:val="clear" w:color="auto" w:fill="FFFFFF"/>
        </w:rPr>
        <w:t xml:space="preserve">increased </w:t>
      </w:r>
      <w:r w:rsidR="00A97776">
        <w:rPr>
          <w:rFonts w:ascii="Calibri" w:hAnsi="Calibri" w:cs="Calibri"/>
          <w:color w:val="1A1D26"/>
          <w:shd w:val="clear" w:color="auto" w:fill="FFFFFF"/>
        </w:rPr>
        <w:t xml:space="preserve">closing costs. </w:t>
      </w:r>
      <w:r w:rsidR="00B95FD2">
        <w:rPr>
          <w:rFonts w:ascii="Calibri" w:hAnsi="Calibri" w:cs="Calibri"/>
          <w:color w:val="1A1D26"/>
          <w:shd w:val="clear" w:color="auto" w:fill="FFFFFF"/>
        </w:rPr>
        <w:t xml:space="preserve"> </w:t>
      </w:r>
      <w:r w:rsidR="00C92B93">
        <w:rPr>
          <w:rFonts w:ascii="Calibri" w:hAnsi="Calibri" w:cs="Calibri"/>
          <w:color w:val="1A1D26"/>
          <w:shd w:val="clear" w:color="auto" w:fill="FFFFFF"/>
        </w:rPr>
        <w:t xml:space="preserve"> </w:t>
      </w:r>
      <w:r w:rsidR="001E2463">
        <w:rPr>
          <w:rFonts w:ascii="Calibri" w:hAnsi="Calibri" w:cs="Calibri"/>
          <w:color w:val="1A1D26"/>
          <w:shd w:val="clear" w:color="auto" w:fill="FFFFFF"/>
        </w:rPr>
        <w:t xml:space="preserve"> </w:t>
      </w:r>
      <w:r w:rsidR="00680712">
        <w:rPr>
          <w:rFonts w:ascii="Calibri" w:hAnsi="Calibri" w:cs="Calibri"/>
          <w:color w:val="1A1D26"/>
          <w:shd w:val="clear" w:color="auto" w:fill="FFFFFF"/>
        </w:rPr>
        <w:t xml:space="preserve"> </w:t>
      </w:r>
      <w:r>
        <w:rPr>
          <w:rFonts w:ascii="Calibri" w:hAnsi="Calibri" w:cs="Calibri"/>
          <w:color w:val="1A1D26"/>
          <w:shd w:val="clear" w:color="auto" w:fill="FFFFFF"/>
        </w:rPr>
        <w:t xml:space="preserve"> </w:t>
      </w:r>
      <w:r w:rsidR="00B3453A">
        <w:rPr>
          <w:rFonts w:ascii="Calibri" w:hAnsi="Calibri" w:cs="Calibri"/>
          <w:color w:val="1A1D26"/>
          <w:shd w:val="clear" w:color="auto" w:fill="FFFFFF"/>
        </w:rPr>
        <w:t xml:space="preserve"> </w:t>
      </w:r>
      <w:r w:rsidR="00D0643B">
        <w:rPr>
          <w:rFonts w:ascii="Calibri" w:hAnsi="Calibri" w:cs="Calibri"/>
          <w:color w:val="1A1D26"/>
          <w:shd w:val="clear" w:color="auto" w:fill="FFFFFF"/>
        </w:rPr>
        <w:t xml:space="preserve"> </w:t>
      </w:r>
      <w:r w:rsidR="009F0DBD">
        <w:rPr>
          <w:rFonts w:ascii="Calibri" w:hAnsi="Calibri" w:cs="Calibri"/>
          <w:color w:val="1A1D26"/>
          <w:shd w:val="clear" w:color="auto" w:fill="FFFFFF"/>
        </w:rPr>
        <w:t xml:space="preserve"> </w:t>
      </w:r>
      <w:r w:rsidR="002F2D53">
        <w:rPr>
          <w:rFonts w:ascii="Calibri" w:hAnsi="Calibri" w:cs="Calibri"/>
          <w:color w:val="1A1D26"/>
          <w:shd w:val="clear" w:color="auto" w:fill="FFFFFF"/>
        </w:rPr>
        <w:t xml:space="preserve"> </w:t>
      </w:r>
      <w:r w:rsidR="0087485E">
        <w:rPr>
          <w:rFonts w:ascii="Calibri" w:hAnsi="Calibri" w:cs="Calibri"/>
          <w:color w:val="1A1D26"/>
          <w:shd w:val="clear" w:color="auto" w:fill="FFFFFF"/>
        </w:rPr>
        <w:t xml:space="preserve"> </w:t>
      </w:r>
      <w:r w:rsidR="00871469">
        <w:rPr>
          <w:rFonts w:ascii="Calibri" w:hAnsi="Calibri" w:cs="Calibri"/>
          <w:color w:val="1A1D26"/>
          <w:shd w:val="clear" w:color="auto" w:fill="FFFFFF"/>
        </w:rPr>
        <w:t xml:space="preserve"> </w:t>
      </w:r>
      <w:r w:rsidR="00D36699">
        <w:rPr>
          <w:rFonts w:ascii="Calibri" w:hAnsi="Calibri" w:cs="Calibri"/>
          <w:color w:val="1A1D26"/>
          <w:shd w:val="clear" w:color="auto" w:fill="FFFFFF"/>
        </w:rPr>
        <w:t xml:space="preserve"> </w:t>
      </w:r>
      <w:r w:rsidR="00AB33AD">
        <w:rPr>
          <w:rFonts w:ascii="Calibri" w:hAnsi="Calibri" w:cs="Calibri"/>
          <w:color w:val="1A1D26"/>
          <w:shd w:val="clear" w:color="auto" w:fill="FFFFFF"/>
        </w:rPr>
        <w:t xml:space="preserve"> </w:t>
      </w:r>
    </w:p>
    <w:p w14:paraId="6CA8E36E" w14:textId="77777777" w:rsidR="00261720" w:rsidRPr="00A97776" w:rsidRDefault="00261720" w:rsidP="003D5FB9">
      <w:pPr>
        <w:spacing w:line="240" w:lineRule="auto"/>
        <w:rPr>
          <w:rFonts w:ascii="Calibri" w:hAnsi="Calibri" w:cs="Calibri"/>
          <w:color w:val="1A1D26"/>
          <w:sz w:val="20"/>
          <w:szCs w:val="20"/>
          <w:shd w:val="clear" w:color="auto" w:fill="FFFFFF"/>
        </w:rPr>
      </w:pPr>
    </w:p>
    <w:p w14:paraId="1701974D" w14:textId="77777777" w:rsidR="008873BE" w:rsidRPr="008873BE" w:rsidRDefault="008873BE" w:rsidP="008873BE">
      <w:pPr>
        <w:spacing w:line="240" w:lineRule="auto"/>
        <w:rPr>
          <w:rFonts w:asciiTheme="minorHAnsi" w:hAnsiTheme="minorHAnsi" w:cstheme="minorHAnsi"/>
          <w:b/>
          <w:bCs/>
          <w:color w:val="000000"/>
        </w:rPr>
      </w:pPr>
      <w:r w:rsidRPr="008873BE">
        <w:rPr>
          <w:rFonts w:asciiTheme="minorHAnsi" w:hAnsiTheme="minorHAnsi" w:cstheme="minorHAnsi"/>
          <w:b/>
          <w:bCs/>
        </w:rPr>
        <w:t>What studies or data are available to measure the potential impact closing costs may have on overall costs, housing affordability, access to homeownership, or home equity?</w:t>
      </w:r>
    </w:p>
    <w:p w14:paraId="67E6A981" w14:textId="74BB8A0A" w:rsidR="008873BE" w:rsidRPr="00AA08F8" w:rsidRDefault="008873BE" w:rsidP="003D5FB9">
      <w:pPr>
        <w:spacing w:line="240" w:lineRule="auto"/>
        <w:rPr>
          <w:rFonts w:ascii="Calibri" w:hAnsi="Calibri" w:cs="Calibri"/>
          <w:color w:val="1A1D26"/>
          <w:shd w:val="clear" w:color="auto" w:fill="FFFFFF"/>
        </w:rPr>
      </w:pPr>
      <w:r>
        <w:rPr>
          <w:rFonts w:ascii="Calibri" w:hAnsi="Calibri" w:cs="Calibri"/>
          <w:color w:val="1A1D26"/>
          <w:shd w:val="clear" w:color="auto" w:fill="FFFFFF"/>
        </w:rPr>
        <w:t xml:space="preserve">The Joint Center for Housing Studies of Harvard University released </w:t>
      </w:r>
      <w:proofErr w:type="spellStart"/>
      <w:r>
        <w:rPr>
          <w:rFonts w:ascii="Calibri" w:hAnsi="Calibri" w:cs="Calibri"/>
          <w:color w:val="1A1D26"/>
          <w:shd w:val="clear" w:color="auto" w:fill="FFFFFF"/>
        </w:rPr>
        <w:t>it’s</w:t>
      </w:r>
      <w:proofErr w:type="spellEnd"/>
      <w:r>
        <w:rPr>
          <w:rFonts w:ascii="Calibri" w:hAnsi="Calibri" w:cs="Calibri"/>
          <w:color w:val="1A1D26"/>
          <w:shd w:val="clear" w:color="auto" w:fill="FFFFFF"/>
        </w:rPr>
        <w:t xml:space="preserve"> annual </w:t>
      </w:r>
      <w:hyperlink r:id="rId29" w:history="1">
        <w:r w:rsidRPr="008873BE">
          <w:rPr>
            <w:rStyle w:val="Hyperlink"/>
            <w:rFonts w:ascii="Calibri" w:hAnsi="Calibri" w:cs="Calibri"/>
            <w:shd w:val="clear" w:color="auto" w:fill="FFFFFF"/>
          </w:rPr>
          <w:t xml:space="preserve">State of the Nation’s Housing </w:t>
        </w:r>
        <w:r w:rsidR="00FB624B">
          <w:rPr>
            <w:rStyle w:val="Hyperlink"/>
            <w:rFonts w:ascii="Calibri" w:hAnsi="Calibri" w:cs="Calibri"/>
            <w:shd w:val="clear" w:color="auto" w:fill="FFFFFF"/>
          </w:rPr>
          <w:t>R</w:t>
        </w:r>
        <w:r w:rsidRPr="008873BE">
          <w:rPr>
            <w:rStyle w:val="Hyperlink"/>
            <w:rFonts w:ascii="Calibri" w:hAnsi="Calibri" w:cs="Calibri"/>
            <w:shd w:val="clear" w:color="auto" w:fill="FFFFFF"/>
          </w:rPr>
          <w:t>eport for 2023</w:t>
        </w:r>
      </w:hyperlink>
      <w:r>
        <w:rPr>
          <w:rFonts w:ascii="Calibri" w:hAnsi="Calibri" w:cs="Calibri"/>
          <w:color w:val="1A1D26"/>
          <w:shd w:val="clear" w:color="auto" w:fill="FFFFFF"/>
        </w:rPr>
        <w:t xml:space="preserve">.  The </w:t>
      </w:r>
      <w:hyperlink r:id="rId30" w:history="1">
        <w:r w:rsidRPr="00FB624B">
          <w:rPr>
            <w:rStyle w:val="Hyperlink"/>
            <w:rFonts w:ascii="Calibri" w:hAnsi="Calibri" w:cs="Calibri"/>
            <w:shd w:val="clear" w:color="auto" w:fill="FFFFFF"/>
          </w:rPr>
          <w:t>2022 report</w:t>
        </w:r>
      </w:hyperlink>
      <w:r>
        <w:rPr>
          <w:rFonts w:ascii="Calibri" w:hAnsi="Calibri" w:cs="Calibri"/>
          <w:color w:val="1A1D26"/>
          <w:shd w:val="clear" w:color="auto" w:fill="FFFFFF"/>
        </w:rPr>
        <w:t xml:space="preserve"> and the </w:t>
      </w:r>
      <w:hyperlink r:id="rId31" w:history="1">
        <w:r w:rsidRPr="00FB624B">
          <w:rPr>
            <w:rStyle w:val="Hyperlink"/>
            <w:rFonts w:ascii="Calibri" w:hAnsi="Calibri" w:cs="Calibri"/>
            <w:shd w:val="clear" w:color="auto" w:fill="FFFFFF"/>
          </w:rPr>
          <w:t>2021 report</w:t>
        </w:r>
      </w:hyperlink>
      <w:r w:rsidR="00FB624B">
        <w:rPr>
          <w:rFonts w:ascii="Calibri" w:hAnsi="Calibri" w:cs="Calibri"/>
          <w:color w:val="1A1D26"/>
          <w:shd w:val="clear" w:color="auto" w:fill="FFFFFF"/>
        </w:rPr>
        <w:t xml:space="preserve">. These annual reports provide valuable information, on the impact of housing and homeownership. </w:t>
      </w:r>
      <w:r>
        <w:rPr>
          <w:rFonts w:ascii="Calibri" w:hAnsi="Calibri" w:cs="Calibri"/>
          <w:color w:val="1A1D26"/>
          <w:shd w:val="clear" w:color="auto" w:fill="FFFFFF"/>
        </w:rPr>
        <w:t xml:space="preserve"> </w:t>
      </w:r>
    </w:p>
    <w:p w14:paraId="4CDC9415" w14:textId="68555FC8" w:rsidR="00152897" w:rsidRPr="00EB316E" w:rsidRDefault="002917B5" w:rsidP="003D5FB9">
      <w:pPr>
        <w:spacing w:line="240" w:lineRule="auto"/>
        <w:rPr>
          <w:rFonts w:ascii="Roboto" w:hAnsi="Roboto"/>
          <w:color w:val="1A1D26"/>
          <w:sz w:val="20"/>
          <w:szCs w:val="20"/>
          <w:shd w:val="clear" w:color="auto" w:fill="FFFFFF"/>
        </w:rPr>
      </w:pPr>
      <w:r>
        <w:rPr>
          <w:rFonts w:ascii="Roboto" w:hAnsi="Roboto"/>
          <w:color w:val="1A1D26"/>
          <w:sz w:val="27"/>
          <w:szCs w:val="27"/>
          <w:shd w:val="clear" w:color="auto" w:fill="FFFFFF"/>
        </w:rPr>
        <w:t xml:space="preserve"> </w:t>
      </w:r>
      <w:r w:rsidR="00361FC6">
        <w:rPr>
          <w:rFonts w:ascii="Roboto" w:hAnsi="Roboto"/>
          <w:color w:val="1A1D26"/>
          <w:sz w:val="27"/>
          <w:szCs w:val="27"/>
          <w:shd w:val="clear" w:color="auto" w:fill="FFFFFF"/>
        </w:rPr>
        <w:t xml:space="preserve"> </w:t>
      </w:r>
    </w:p>
    <w:p w14:paraId="36B3045E" w14:textId="77777777" w:rsidR="00DB7265" w:rsidRPr="00EB316E" w:rsidRDefault="000254B9" w:rsidP="00124FD2">
      <w:pPr>
        <w:spacing w:line="240" w:lineRule="auto"/>
        <w:rPr>
          <w:rFonts w:asciiTheme="minorHAnsi" w:hAnsiTheme="minorHAnsi" w:cstheme="minorHAnsi"/>
          <w:color w:val="000000" w:themeColor="text1"/>
        </w:rPr>
      </w:pPr>
      <w:r w:rsidRPr="00EB316E">
        <w:rPr>
          <w:rFonts w:asciiTheme="minorHAnsi" w:hAnsiTheme="minorHAnsi" w:cstheme="minorHAnsi"/>
          <w:color w:val="000000" w:themeColor="text1"/>
        </w:rPr>
        <w:t xml:space="preserve">In general, we believe that </w:t>
      </w:r>
      <w:r w:rsidR="0077517E" w:rsidRPr="00EB316E">
        <w:rPr>
          <w:rFonts w:asciiTheme="minorHAnsi" w:hAnsiTheme="minorHAnsi" w:cstheme="minorHAnsi"/>
          <w:color w:val="000000" w:themeColor="text1"/>
        </w:rPr>
        <w:t xml:space="preserve">closing costs have increased </w:t>
      </w:r>
      <w:r w:rsidR="00CB3500" w:rsidRPr="00EB316E">
        <w:rPr>
          <w:rFonts w:asciiTheme="minorHAnsi" w:hAnsiTheme="minorHAnsi" w:cstheme="minorHAnsi"/>
          <w:color w:val="000000" w:themeColor="text1"/>
        </w:rPr>
        <w:t xml:space="preserve">more because of the </w:t>
      </w:r>
      <w:r w:rsidR="00333644" w:rsidRPr="00EB316E">
        <w:rPr>
          <w:rFonts w:asciiTheme="minorHAnsi" w:hAnsiTheme="minorHAnsi" w:cstheme="minorHAnsi"/>
          <w:color w:val="000000" w:themeColor="text1"/>
        </w:rPr>
        <w:t xml:space="preserve">housing supply and interest rate increases during the past few years. </w:t>
      </w:r>
      <w:r w:rsidR="009B1138" w:rsidRPr="00EB316E">
        <w:rPr>
          <w:rFonts w:asciiTheme="minorHAnsi" w:hAnsiTheme="minorHAnsi" w:cstheme="minorHAnsi"/>
          <w:color w:val="000000" w:themeColor="text1"/>
        </w:rPr>
        <w:t xml:space="preserve">While these factors are beyond the control of the Bureau, there is still </w:t>
      </w:r>
      <w:r w:rsidR="00F472B0" w:rsidRPr="00EB316E">
        <w:rPr>
          <w:rFonts w:asciiTheme="minorHAnsi" w:hAnsiTheme="minorHAnsi" w:cstheme="minorHAnsi"/>
          <w:color w:val="000000" w:themeColor="text1"/>
        </w:rPr>
        <w:t xml:space="preserve">room to improve </w:t>
      </w:r>
      <w:r w:rsidR="00DB7265" w:rsidRPr="00EB316E">
        <w:rPr>
          <w:rFonts w:asciiTheme="minorHAnsi" w:hAnsiTheme="minorHAnsi" w:cstheme="minorHAnsi"/>
          <w:color w:val="000000" w:themeColor="text1"/>
        </w:rPr>
        <w:t>the clarity of information provided to consumers including:</w:t>
      </w:r>
    </w:p>
    <w:p w14:paraId="77455696" w14:textId="77777777" w:rsidR="00E04C46" w:rsidRPr="00EB316E" w:rsidRDefault="00DB7265" w:rsidP="00124FD2">
      <w:pPr>
        <w:pStyle w:val="ListParagraph"/>
        <w:numPr>
          <w:ilvl w:val="0"/>
          <w:numId w:val="10"/>
        </w:numPr>
        <w:spacing w:line="240" w:lineRule="auto"/>
        <w:rPr>
          <w:rFonts w:asciiTheme="minorHAnsi" w:hAnsiTheme="minorHAnsi" w:cstheme="minorHAnsi"/>
          <w:color w:val="000000" w:themeColor="text1"/>
        </w:rPr>
      </w:pPr>
      <w:r w:rsidRPr="00EB316E">
        <w:rPr>
          <w:rFonts w:asciiTheme="minorHAnsi" w:hAnsiTheme="minorHAnsi" w:cstheme="minorHAnsi"/>
          <w:color w:val="000000" w:themeColor="text1"/>
        </w:rPr>
        <w:t xml:space="preserve">Disclosure </w:t>
      </w:r>
      <w:r w:rsidR="00EA60BC" w:rsidRPr="00EB316E">
        <w:rPr>
          <w:rFonts w:asciiTheme="minorHAnsi" w:hAnsiTheme="minorHAnsi" w:cstheme="minorHAnsi"/>
          <w:color w:val="000000" w:themeColor="text1"/>
        </w:rPr>
        <w:t xml:space="preserve">and breakdown of fees </w:t>
      </w:r>
      <w:r w:rsidR="00E04C46" w:rsidRPr="00EB316E">
        <w:rPr>
          <w:rFonts w:asciiTheme="minorHAnsi" w:hAnsiTheme="minorHAnsi" w:cstheme="minorHAnsi"/>
          <w:color w:val="000000" w:themeColor="text1"/>
        </w:rPr>
        <w:t>relative to the ultimate vendor recipients</w:t>
      </w:r>
    </w:p>
    <w:p w14:paraId="41ED5079" w14:textId="50E475B5" w:rsidR="00B86BD9" w:rsidRPr="00EB316E" w:rsidRDefault="00B86BD9" w:rsidP="00124FD2">
      <w:pPr>
        <w:pStyle w:val="ListParagraph"/>
        <w:numPr>
          <w:ilvl w:val="0"/>
          <w:numId w:val="10"/>
        </w:numPr>
        <w:spacing w:line="240" w:lineRule="auto"/>
        <w:rPr>
          <w:rFonts w:asciiTheme="minorHAnsi" w:hAnsiTheme="minorHAnsi" w:cstheme="minorHAnsi"/>
          <w:color w:val="000000" w:themeColor="text1"/>
        </w:rPr>
      </w:pPr>
      <w:r w:rsidRPr="00EB316E">
        <w:rPr>
          <w:rFonts w:asciiTheme="minorHAnsi" w:hAnsiTheme="minorHAnsi" w:cstheme="minorHAnsi"/>
          <w:color w:val="000000" w:themeColor="text1"/>
        </w:rPr>
        <w:t>Credit score cost and impact of non-</w:t>
      </w:r>
      <w:r w:rsidR="00423D1A" w:rsidRPr="00EB316E">
        <w:rPr>
          <w:rFonts w:asciiTheme="minorHAnsi" w:hAnsiTheme="minorHAnsi" w:cstheme="minorHAnsi"/>
          <w:color w:val="000000" w:themeColor="text1"/>
        </w:rPr>
        <w:t>competition</w:t>
      </w:r>
    </w:p>
    <w:p w14:paraId="06BBEF52" w14:textId="7705AB0E" w:rsidR="006421C1" w:rsidRPr="00124FD2" w:rsidRDefault="00E04C46" w:rsidP="00124FD2">
      <w:pPr>
        <w:spacing w:line="240" w:lineRule="auto"/>
        <w:rPr>
          <w:rFonts w:asciiTheme="minorHAnsi" w:hAnsiTheme="minorHAnsi" w:cstheme="minorHAnsi"/>
          <w:color w:val="000000" w:themeColor="text1"/>
          <w:sz w:val="20"/>
          <w:szCs w:val="20"/>
        </w:rPr>
      </w:pPr>
      <w:r w:rsidRPr="00EB316E">
        <w:rPr>
          <w:rFonts w:asciiTheme="minorHAnsi" w:hAnsiTheme="minorHAnsi" w:cstheme="minorHAnsi"/>
          <w:color w:val="000000" w:themeColor="text1"/>
        </w:rPr>
        <w:t xml:space="preserve"> </w:t>
      </w:r>
    </w:p>
    <w:p w14:paraId="6799C49F" w14:textId="77777777" w:rsidR="00677A43" w:rsidRPr="00EB316E" w:rsidRDefault="000254B9" w:rsidP="00124FD2">
      <w:pPr>
        <w:spacing w:line="240" w:lineRule="auto"/>
        <w:rPr>
          <w:rFonts w:asciiTheme="minorHAnsi" w:hAnsiTheme="minorHAnsi" w:cstheme="minorHAnsi"/>
          <w:color w:val="000000" w:themeColor="text1"/>
        </w:rPr>
      </w:pPr>
      <w:r w:rsidRPr="00EB316E">
        <w:rPr>
          <w:rFonts w:asciiTheme="minorHAnsi" w:hAnsiTheme="minorHAnsi" w:cstheme="minorHAnsi"/>
          <w:color w:val="000000" w:themeColor="text1"/>
        </w:rPr>
        <w:t xml:space="preserve">Thank you for taking the opportunity to listen our concerns and </w:t>
      </w:r>
      <w:r w:rsidR="00DD7298" w:rsidRPr="00EB316E">
        <w:rPr>
          <w:rFonts w:asciiTheme="minorHAnsi" w:hAnsiTheme="minorHAnsi" w:cstheme="minorHAnsi"/>
          <w:color w:val="000000" w:themeColor="text1"/>
        </w:rPr>
        <w:t xml:space="preserve">feedback. </w:t>
      </w:r>
      <w:r w:rsidR="00104AC3" w:rsidRPr="00EB316E">
        <w:rPr>
          <w:rFonts w:asciiTheme="minorHAnsi" w:hAnsiTheme="minorHAnsi" w:cstheme="minorHAnsi"/>
          <w:color w:val="000000" w:themeColor="text1"/>
        </w:rPr>
        <w:t xml:space="preserve">Should you have any questions about this letter, please do not hesitate to contact </w:t>
      </w:r>
      <w:r w:rsidR="00F8226F" w:rsidRPr="00EB316E">
        <w:rPr>
          <w:rFonts w:asciiTheme="minorHAnsi" w:hAnsiTheme="minorHAnsi" w:cstheme="minorHAnsi"/>
          <w:color w:val="000000" w:themeColor="text1"/>
        </w:rPr>
        <w:t xml:space="preserve">any of the below listed </w:t>
      </w:r>
      <w:proofErr w:type="gramStart"/>
      <w:r w:rsidR="00F8226F" w:rsidRPr="00EB316E">
        <w:rPr>
          <w:rFonts w:asciiTheme="minorHAnsi" w:hAnsiTheme="minorHAnsi" w:cstheme="minorHAnsi"/>
          <w:color w:val="000000" w:themeColor="text1"/>
        </w:rPr>
        <w:t>associations</w:t>
      </w:r>
      <w:r w:rsidR="00677A43" w:rsidRPr="00EB316E">
        <w:rPr>
          <w:rFonts w:asciiTheme="minorHAnsi" w:hAnsiTheme="minorHAnsi" w:cstheme="minorHAnsi"/>
          <w:color w:val="000000" w:themeColor="text1"/>
        </w:rPr>
        <w:t>;</w:t>
      </w:r>
      <w:proofErr w:type="gramEnd"/>
    </w:p>
    <w:p w14:paraId="07F1A4CE" w14:textId="77777777" w:rsidR="00677A43" w:rsidRPr="00EB316E" w:rsidRDefault="00677A43" w:rsidP="000254B9">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56AEC" w14:paraId="0010AB32" w14:textId="77777777" w:rsidTr="00131A30">
        <w:tc>
          <w:tcPr>
            <w:tcW w:w="3596" w:type="dxa"/>
          </w:tcPr>
          <w:p w14:paraId="39F0D162" w14:textId="73E04026" w:rsidR="00856AEC" w:rsidRPr="0038404A" w:rsidRDefault="00856AEC" w:rsidP="00856AEC">
            <w:pPr>
              <w:rPr>
                <w:rFonts w:asciiTheme="minorHAnsi" w:hAnsiTheme="minorHAnsi" w:cstheme="minorHAnsi"/>
                <w:sz w:val="20"/>
                <w:szCs w:val="20"/>
              </w:rPr>
            </w:pPr>
            <w:r>
              <w:rPr>
                <w:rFonts w:asciiTheme="minorHAnsi" w:hAnsiTheme="minorHAnsi" w:cstheme="minorHAnsi"/>
                <w:sz w:val="20"/>
                <w:szCs w:val="20"/>
              </w:rPr>
              <w:t>Erica Byrne</w:t>
            </w:r>
            <w:r w:rsidRPr="0038404A">
              <w:rPr>
                <w:rFonts w:asciiTheme="minorHAnsi" w:hAnsiTheme="minorHAnsi" w:cstheme="minorHAnsi"/>
                <w:sz w:val="20"/>
                <w:szCs w:val="20"/>
              </w:rPr>
              <w:t xml:space="preserve">, </w:t>
            </w:r>
            <w:r>
              <w:rPr>
                <w:rFonts w:asciiTheme="minorHAnsi" w:hAnsiTheme="minorHAnsi" w:cstheme="minorHAnsi"/>
                <w:sz w:val="20"/>
                <w:szCs w:val="20"/>
              </w:rPr>
              <w:t>Legislative Chair</w:t>
            </w:r>
          </w:p>
          <w:p w14:paraId="5D1EA85D" w14:textId="523296B8" w:rsidR="00856AEC" w:rsidRPr="0038404A" w:rsidRDefault="00856AEC" w:rsidP="00856AEC">
            <w:pPr>
              <w:rPr>
                <w:rFonts w:asciiTheme="minorHAnsi" w:hAnsiTheme="minorHAnsi" w:cstheme="minorHAnsi"/>
                <w:sz w:val="20"/>
                <w:szCs w:val="20"/>
              </w:rPr>
            </w:pPr>
            <w:r w:rsidRPr="0038404A">
              <w:rPr>
                <w:rFonts w:asciiTheme="minorHAnsi" w:hAnsiTheme="minorHAnsi" w:cstheme="minorHAnsi"/>
                <w:sz w:val="20"/>
                <w:szCs w:val="20"/>
              </w:rPr>
              <w:t>Mortgage Bankers Assoc.</w:t>
            </w:r>
            <w:r>
              <w:rPr>
                <w:rFonts w:asciiTheme="minorHAnsi" w:hAnsiTheme="minorHAnsi" w:cstheme="minorHAnsi"/>
                <w:sz w:val="20"/>
                <w:szCs w:val="20"/>
              </w:rPr>
              <w:t xml:space="preserve"> of Arkansas</w:t>
            </w:r>
          </w:p>
          <w:p w14:paraId="78ABEE7D" w14:textId="404E40B0" w:rsidR="00856AEC" w:rsidRPr="0038404A" w:rsidRDefault="00856AEC" w:rsidP="00856AEC">
            <w:pPr>
              <w:rPr>
                <w:rFonts w:asciiTheme="minorHAnsi" w:hAnsiTheme="minorHAnsi" w:cstheme="minorHAnsi"/>
                <w:sz w:val="20"/>
                <w:szCs w:val="20"/>
              </w:rPr>
            </w:pPr>
            <w:r w:rsidRPr="0038404A">
              <w:rPr>
                <w:rFonts w:asciiTheme="minorHAnsi" w:hAnsiTheme="minorHAnsi" w:cstheme="minorHAnsi"/>
                <w:sz w:val="20"/>
                <w:szCs w:val="20"/>
              </w:rPr>
              <w:t>(</w:t>
            </w:r>
            <w:r>
              <w:rPr>
                <w:rFonts w:asciiTheme="minorHAnsi" w:hAnsiTheme="minorHAnsi" w:cstheme="minorHAnsi"/>
                <w:sz w:val="20"/>
                <w:szCs w:val="20"/>
              </w:rPr>
              <w:t>479) 957-5020</w:t>
            </w:r>
          </w:p>
          <w:p w14:paraId="4C9CB20C" w14:textId="77C3483D" w:rsidR="00856AEC" w:rsidRDefault="00856AEC" w:rsidP="00856AEC">
            <w:pPr>
              <w:rPr>
                <w:rFonts w:asciiTheme="minorHAnsi" w:hAnsiTheme="minorHAnsi" w:cstheme="minorHAnsi"/>
                <w:sz w:val="20"/>
                <w:szCs w:val="20"/>
              </w:rPr>
            </w:pPr>
            <w:hyperlink r:id="rId32" w:history="1">
              <w:r w:rsidRPr="005E50BF">
                <w:rPr>
                  <w:rStyle w:val="Hyperlink"/>
                  <w:rFonts w:asciiTheme="minorHAnsi" w:hAnsiTheme="minorHAnsi" w:cstheme="minorHAnsi"/>
                  <w:sz w:val="20"/>
                  <w:szCs w:val="20"/>
                </w:rPr>
                <w:t>Erica.j.byrne@gmail.com</w:t>
              </w:r>
            </w:hyperlink>
            <w:r>
              <w:rPr>
                <w:rFonts w:asciiTheme="minorHAnsi" w:hAnsiTheme="minorHAnsi" w:cstheme="minorHAnsi"/>
                <w:sz w:val="20"/>
                <w:szCs w:val="20"/>
              </w:rPr>
              <w:t xml:space="preserve"> </w:t>
            </w:r>
          </w:p>
          <w:p w14:paraId="66015DB8" w14:textId="77777777" w:rsidR="00856AEC" w:rsidRPr="0038404A" w:rsidRDefault="00856AEC" w:rsidP="00856AEC">
            <w:pPr>
              <w:rPr>
                <w:rFonts w:asciiTheme="minorHAnsi" w:hAnsiTheme="minorHAnsi" w:cstheme="minorHAnsi"/>
                <w:sz w:val="20"/>
                <w:szCs w:val="20"/>
              </w:rPr>
            </w:pPr>
          </w:p>
          <w:p w14:paraId="7943A409" w14:textId="25F773B6" w:rsidR="00856AEC" w:rsidRPr="0038404A" w:rsidRDefault="00856AEC" w:rsidP="00856AEC">
            <w:pPr>
              <w:rPr>
                <w:rFonts w:asciiTheme="minorHAnsi" w:hAnsiTheme="minorHAnsi" w:cstheme="minorHAnsi"/>
                <w:sz w:val="20"/>
                <w:szCs w:val="20"/>
              </w:rPr>
            </w:pPr>
            <w:r>
              <w:rPr>
                <w:rFonts w:asciiTheme="minorHAnsi" w:hAnsiTheme="minorHAnsi" w:cstheme="minorHAnsi"/>
                <w:sz w:val="20"/>
                <w:szCs w:val="20"/>
              </w:rPr>
              <w:t>Julie Haddock</w:t>
            </w:r>
            <w:r w:rsidRPr="0038404A">
              <w:rPr>
                <w:rFonts w:asciiTheme="minorHAnsi" w:hAnsiTheme="minorHAnsi" w:cstheme="minorHAnsi"/>
                <w:sz w:val="20"/>
                <w:szCs w:val="20"/>
              </w:rPr>
              <w:t xml:space="preserve">, </w:t>
            </w:r>
            <w:r>
              <w:rPr>
                <w:rFonts w:asciiTheme="minorHAnsi" w:hAnsiTheme="minorHAnsi" w:cstheme="minorHAnsi"/>
                <w:sz w:val="20"/>
                <w:szCs w:val="20"/>
              </w:rPr>
              <w:t>President</w:t>
            </w:r>
          </w:p>
          <w:p w14:paraId="32F8F15F" w14:textId="77777777" w:rsidR="00856AEC" w:rsidRPr="0038404A" w:rsidRDefault="00856AEC" w:rsidP="00856AEC">
            <w:pPr>
              <w:rPr>
                <w:rFonts w:asciiTheme="minorHAnsi" w:hAnsiTheme="minorHAnsi" w:cstheme="minorHAnsi"/>
                <w:sz w:val="20"/>
                <w:szCs w:val="20"/>
              </w:rPr>
            </w:pPr>
            <w:r>
              <w:rPr>
                <w:rFonts w:asciiTheme="minorHAnsi" w:hAnsiTheme="minorHAnsi" w:cstheme="minorHAnsi"/>
                <w:sz w:val="20"/>
                <w:szCs w:val="20"/>
              </w:rPr>
              <w:t xml:space="preserve">Oklahoma </w:t>
            </w:r>
            <w:r w:rsidRPr="0038404A">
              <w:rPr>
                <w:rFonts w:asciiTheme="minorHAnsi" w:hAnsiTheme="minorHAnsi" w:cstheme="minorHAnsi"/>
                <w:sz w:val="20"/>
                <w:szCs w:val="20"/>
              </w:rPr>
              <w:t>Mortgage Bankers Assoc.</w:t>
            </w:r>
            <w:r>
              <w:rPr>
                <w:rFonts w:asciiTheme="minorHAnsi" w:hAnsiTheme="minorHAnsi" w:cstheme="minorHAnsi"/>
                <w:sz w:val="20"/>
                <w:szCs w:val="20"/>
              </w:rPr>
              <w:t xml:space="preserve"> </w:t>
            </w:r>
          </w:p>
          <w:p w14:paraId="135085FB" w14:textId="77777777" w:rsidR="00856AEC" w:rsidRPr="0038404A" w:rsidRDefault="00856AEC" w:rsidP="00856AEC">
            <w:pPr>
              <w:rPr>
                <w:rFonts w:asciiTheme="minorHAnsi" w:hAnsiTheme="minorHAnsi" w:cstheme="minorHAnsi"/>
                <w:sz w:val="20"/>
                <w:szCs w:val="20"/>
              </w:rPr>
            </w:pPr>
            <w:r>
              <w:rPr>
                <w:rFonts w:asciiTheme="minorHAnsi" w:hAnsiTheme="minorHAnsi" w:cstheme="minorHAnsi"/>
                <w:sz w:val="20"/>
                <w:szCs w:val="20"/>
              </w:rPr>
              <w:t>(918) 488-7164</w:t>
            </w:r>
          </w:p>
          <w:p w14:paraId="51AA2046" w14:textId="1330B811" w:rsidR="00856AEC" w:rsidRPr="0038404A" w:rsidRDefault="00856AEC" w:rsidP="00856AEC">
            <w:pPr>
              <w:rPr>
                <w:rFonts w:asciiTheme="minorHAnsi" w:hAnsiTheme="minorHAnsi" w:cstheme="minorHAnsi"/>
                <w:sz w:val="20"/>
                <w:szCs w:val="20"/>
              </w:rPr>
            </w:pPr>
            <w:r w:rsidRPr="00D21B9B">
              <w:rPr>
                <w:rStyle w:val="Hyperlink"/>
                <w:rFonts w:asciiTheme="minorHAnsi" w:hAnsiTheme="minorHAnsi" w:cstheme="minorHAnsi"/>
                <w:sz w:val="20"/>
                <w:szCs w:val="20"/>
              </w:rPr>
              <w:t>JHaddock@bokf.com</w:t>
            </w:r>
          </w:p>
        </w:tc>
        <w:tc>
          <w:tcPr>
            <w:tcW w:w="3597" w:type="dxa"/>
          </w:tcPr>
          <w:p w14:paraId="5536E074" w14:textId="77777777" w:rsidR="00856AEC" w:rsidRPr="0038404A" w:rsidRDefault="00856AEC" w:rsidP="00856AEC">
            <w:pPr>
              <w:rPr>
                <w:rFonts w:asciiTheme="minorHAnsi" w:hAnsiTheme="minorHAnsi" w:cstheme="minorHAnsi"/>
                <w:sz w:val="20"/>
                <w:szCs w:val="20"/>
              </w:rPr>
            </w:pPr>
            <w:r>
              <w:rPr>
                <w:rFonts w:asciiTheme="minorHAnsi" w:hAnsiTheme="minorHAnsi" w:cstheme="minorHAnsi"/>
                <w:sz w:val="20"/>
                <w:szCs w:val="20"/>
              </w:rPr>
              <w:t>Sandy Whitehead</w:t>
            </w:r>
            <w:r w:rsidRPr="0038404A">
              <w:rPr>
                <w:rFonts w:asciiTheme="minorHAnsi" w:hAnsiTheme="minorHAnsi" w:cstheme="minorHAnsi"/>
                <w:sz w:val="20"/>
                <w:szCs w:val="20"/>
              </w:rPr>
              <w:t xml:space="preserve">, </w:t>
            </w:r>
            <w:r>
              <w:rPr>
                <w:rFonts w:asciiTheme="minorHAnsi" w:hAnsiTheme="minorHAnsi" w:cstheme="minorHAnsi"/>
                <w:sz w:val="20"/>
                <w:szCs w:val="20"/>
              </w:rPr>
              <w:t>President</w:t>
            </w:r>
          </w:p>
          <w:p w14:paraId="354DB455" w14:textId="77777777" w:rsidR="00856AEC" w:rsidRPr="0038404A" w:rsidRDefault="00856AEC" w:rsidP="00856AEC">
            <w:pPr>
              <w:rPr>
                <w:rFonts w:asciiTheme="minorHAnsi" w:hAnsiTheme="minorHAnsi" w:cstheme="minorHAnsi"/>
                <w:sz w:val="20"/>
                <w:szCs w:val="20"/>
              </w:rPr>
            </w:pPr>
            <w:r>
              <w:rPr>
                <w:rFonts w:asciiTheme="minorHAnsi" w:hAnsiTheme="minorHAnsi" w:cstheme="minorHAnsi"/>
                <w:sz w:val="20"/>
                <w:szCs w:val="20"/>
              </w:rPr>
              <w:t xml:space="preserve">Louisiana </w:t>
            </w:r>
            <w:r w:rsidRPr="0038404A">
              <w:rPr>
                <w:rFonts w:asciiTheme="minorHAnsi" w:hAnsiTheme="minorHAnsi" w:cstheme="minorHAnsi"/>
                <w:sz w:val="20"/>
                <w:szCs w:val="20"/>
              </w:rPr>
              <w:t xml:space="preserve">Mortgage </w:t>
            </w:r>
            <w:r>
              <w:rPr>
                <w:rFonts w:asciiTheme="minorHAnsi" w:hAnsiTheme="minorHAnsi" w:cstheme="minorHAnsi"/>
                <w:sz w:val="20"/>
                <w:szCs w:val="20"/>
              </w:rPr>
              <w:t>Lenders</w:t>
            </w:r>
            <w:r w:rsidRPr="0038404A">
              <w:rPr>
                <w:rFonts w:asciiTheme="minorHAnsi" w:hAnsiTheme="minorHAnsi" w:cstheme="minorHAnsi"/>
                <w:sz w:val="20"/>
                <w:szCs w:val="20"/>
              </w:rPr>
              <w:t xml:space="preserve"> Assoc.</w:t>
            </w:r>
            <w:r>
              <w:rPr>
                <w:rFonts w:asciiTheme="minorHAnsi" w:hAnsiTheme="minorHAnsi" w:cstheme="minorHAnsi"/>
                <w:sz w:val="20"/>
                <w:szCs w:val="20"/>
              </w:rPr>
              <w:t xml:space="preserve"> </w:t>
            </w:r>
          </w:p>
          <w:p w14:paraId="010BF3D4" w14:textId="77777777" w:rsidR="00856AEC" w:rsidRPr="0038404A" w:rsidRDefault="00856AEC" w:rsidP="00856AEC">
            <w:pPr>
              <w:rPr>
                <w:rFonts w:asciiTheme="minorHAnsi" w:hAnsiTheme="minorHAnsi" w:cstheme="minorHAnsi"/>
                <w:sz w:val="20"/>
                <w:szCs w:val="20"/>
              </w:rPr>
            </w:pPr>
            <w:r>
              <w:rPr>
                <w:rFonts w:asciiTheme="minorHAnsi" w:hAnsiTheme="minorHAnsi" w:cstheme="minorHAnsi"/>
                <w:sz w:val="20"/>
                <w:szCs w:val="20"/>
              </w:rPr>
              <w:t>(225) 310-3140</w:t>
            </w:r>
          </w:p>
          <w:p w14:paraId="3A50CD21" w14:textId="35F8D45B" w:rsidR="00856AEC" w:rsidRDefault="00856AEC" w:rsidP="00856AEC">
            <w:pPr>
              <w:rPr>
                <w:rFonts w:asciiTheme="minorHAnsi" w:hAnsiTheme="minorHAnsi" w:cstheme="minorHAnsi"/>
                <w:color w:val="0000FF" w:themeColor="hyperlink"/>
                <w:sz w:val="20"/>
                <w:szCs w:val="20"/>
                <w:u w:val="single"/>
              </w:rPr>
            </w:pPr>
            <w:hyperlink r:id="rId33" w:history="1">
              <w:r w:rsidRPr="00D21B9B">
                <w:rPr>
                  <w:rStyle w:val="Hyperlink"/>
                  <w:rFonts w:asciiTheme="minorHAnsi" w:hAnsiTheme="minorHAnsi" w:cstheme="minorHAnsi"/>
                  <w:sz w:val="20"/>
                  <w:szCs w:val="20"/>
                </w:rPr>
                <w:t>swhitehead@uhm.com</w:t>
              </w:r>
            </w:hyperlink>
            <w:r w:rsidRPr="00D21B9B">
              <w:rPr>
                <w:rFonts w:asciiTheme="minorHAnsi" w:hAnsiTheme="minorHAnsi" w:cstheme="minorHAnsi"/>
                <w:color w:val="0000FF" w:themeColor="hyperlink"/>
                <w:sz w:val="20"/>
                <w:szCs w:val="20"/>
                <w:u w:val="single"/>
              </w:rPr>
              <w:t xml:space="preserve"> </w:t>
            </w:r>
          </w:p>
          <w:p w14:paraId="764878D8" w14:textId="77777777" w:rsidR="00856AEC" w:rsidRPr="0038404A" w:rsidRDefault="00856AEC" w:rsidP="00856AEC">
            <w:pPr>
              <w:rPr>
                <w:rFonts w:asciiTheme="minorHAnsi" w:hAnsiTheme="minorHAnsi" w:cstheme="minorHAnsi"/>
                <w:sz w:val="20"/>
                <w:szCs w:val="20"/>
              </w:rPr>
            </w:pPr>
          </w:p>
          <w:p w14:paraId="2AF2F7CC" w14:textId="77777777" w:rsidR="00856AEC" w:rsidRPr="0038404A" w:rsidRDefault="00856AEC" w:rsidP="00856AEC">
            <w:pPr>
              <w:rPr>
                <w:rFonts w:asciiTheme="minorHAnsi" w:hAnsiTheme="minorHAnsi" w:cstheme="minorHAnsi"/>
                <w:sz w:val="20"/>
                <w:szCs w:val="20"/>
              </w:rPr>
            </w:pPr>
            <w:r>
              <w:rPr>
                <w:rFonts w:asciiTheme="minorHAnsi" w:hAnsiTheme="minorHAnsi" w:cstheme="minorHAnsi"/>
                <w:sz w:val="20"/>
                <w:szCs w:val="20"/>
              </w:rPr>
              <w:t>David Menke</w:t>
            </w:r>
            <w:r w:rsidRPr="0038404A">
              <w:rPr>
                <w:rFonts w:asciiTheme="minorHAnsi" w:hAnsiTheme="minorHAnsi" w:cstheme="minorHAnsi"/>
                <w:sz w:val="20"/>
                <w:szCs w:val="20"/>
              </w:rPr>
              <w:t xml:space="preserve">, </w:t>
            </w:r>
            <w:r>
              <w:rPr>
                <w:rFonts w:asciiTheme="minorHAnsi" w:hAnsiTheme="minorHAnsi" w:cstheme="minorHAnsi"/>
                <w:sz w:val="20"/>
                <w:szCs w:val="20"/>
              </w:rPr>
              <w:t>President</w:t>
            </w:r>
          </w:p>
          <w:p w14:paraId="46192094" w14:textId="77777777" w:rsidR="00856AEC" w:rsidRPr="0038404A" w:rsidRDefault="00856AEC" w:rsidP="00856AEC">
            <w:pPr>
              <w:rPr>
                <w:rFonts w:asciiTheme="minorHAnsi" w:hAnsiTheme="minorHAnsi" w:cstheme="minorHAnsi"/>
                <w:sz w:val="20"/>
                <w:szCs w:val="20"/>
              </w:rPr>
            </w:pPr>
            <w:r>
              <w:rPr>
                <w:rFonts w:asciiTheme="minorHAnsi" w:hAnsiTheme="minorHAnsi" w:cstheme="minorHAnsi"/>
                <w:sz w:val="20"/>
                <w:szCs w:val="20"/>
              </w:rPr>
              <w:t xml:space="preserve">Tennessee </w:t>
            </w:r>
            <w:r w:rsidRPr="0038404A">
              <w:rPr>
                <w:rFonts w:asciiTheme="minorHAnsi" w:hAnsiTheme="minorHAnsi" w:cstheme="minorHAnsi"/>
                <w:sz w:val="20"/>
                <w:szCs w:val="20"/>
              </w:rPr>
              <w:t>Mortgage Bankers Assoc.</w:t>
            </w:r>
            <w:r>
              <w:rPr>
                <w:rFonts w:asciiTheme="minorHAnsi" w:hAnsiTheme="minorHAnsi" w:cstheme="minorHAnsi"/>
                <w:sz w:val="20"/>
                <w:szCs w:val="20"/>
              </w:rPr>
              <w:t xml:space="preserve"> </w:t>
            </w:r>
          </w:p>
          <w:p w14:paraId="4D03B4F1" w14:textId="77777777" w:rsidR="00856AEC" w:rsidRPr="0038404A" w:rsidRDefault="00856AEC" w:rsidP="00856AEC">
            <w:pPr>
              <w:rPr>
                <w:rFonts w:asciiTheme="minorHAnsi" w:hAnsiTheme="minorHAnsi" w:cstheme="minorHAnsi"/>
                <w:sz w:val="20"/>
                <w:szCs w:val="20"/>
              </w:rPr>
            </w:pPr>
            <w:r>
              <w:rPr>
                <w:rFonts w:asciiTheme="minorHAnsi" w:hAnsiTheme="minorHAnsi" w:cstheme="minorHAnsi"/>
                <w:sz w:val="20"/>
                <w:szCs w:val="20"/>
              </w:rPr>
              <w:t>(615) 915-7211</w:t>
            </w:r>
          </w:p>
          <w:p w14:paraId="22415FF6" w14:textId="77777777" w:rsidR="00856AEC" w:rsidRPr="00D21B9B" w:rsidRDefault="00856AEC" w:rsidP="00856AEC">
            <w:pPr>
              <w:rPr>
                <w:rStyle w:val="Hyperlink"/>
                <w:rFonts w:asciiTheme="minorHAnsi" w:hAnsiTheme="minorHAnsi" w:cstheme="minorHAnsi"/>
                <w:sz w:val="20"/>
                <w:szCs w:val="20"/>
              </w:rPr>
            </w:pPr>
            <w:hyperlink r:id="rId34" w:history="1">
              <w:r w:rsidRPr="00D21B9B">
                <w:rPr>
                  <w:rStyle w:val="Hyperlink"/>
                  <w:rFonts w:asciiTheme="minorHAnsi" w:hAnsiTheme="minorHAnsi" w:cstheme="minorHAnsi"/>
                  <w:sz w:val="20"/>
                  <w:szCs w:val="20"/>
                </w:rPr>
                <w:t>dmenke@capstarbank.com</w:t>
              </w:r>
            </w:hyperlink>
          </w:p>
          <w:p w14:paraId="06A4F88C" w14:textId="149635F1" w:rsidR="00856AEC" w:rsidRPr="0038404A" w:rsidRDefault="00856AEC" w:rsidP="00856AEC">
            <w:pPr>
              <w:rPr>
                <w:rFonts w:asciiTheme="minorHAnsi" w:hAnsiTheme="minorHAnsi" w:cstheme="minorHAnsi"/>
                <w:sz w:val="20"/>
                <w:szCs w:val="20"/>
              </w:rPr>
            </w:pPr>
          </w:p>
        </w:tc>
        <w:tc>
          <w:tcPr>
            <w:tcW w:w="3597" w:type="dxa"/>
          </w:tcPr>
          <w:p w14:paraId="1A819D93" w14:textId="77777777" w:rsidR="00856AEC" w:rsidRPr="0038404A" w:rsidRDefault="00856AEC" w:rsidP="00856AEC">
            <w:pPr>
              <w:rPr>
                <w:rFonts w:asciiTheme="minorHAnsi" w:hAnsiTheme="minorHAnsi" w:cstheme="minorHAnsi"/>
                <w:sz w:val="20"/>
                <w:szCs w:val="20"/>
              </w:rPr>
            </w:pPr>
            <w:r>
              <w:rPr>
                <w:rFonts w:asciiTheme="minorHAnsi" w:hAnsiTheme="minorHAnsi" w:cstheme="minorHAnsi"/>
                <w:sz w:val="20"/>
                <w:szCs w:val="20"/>
              </w:rPr>
              <w:t>Mark Bradford</w:t>
            </w:r>
            <w:r w:rsidRPr="0038404A">
              <w:rPr>
                <w:rFonts w:asciiTheme="minorHAnsi" w:hAnsiTheme="minorHAnsi" w:cstheme="minorHAnsi"/>
                <w:sz w:val="20"/>
                <w:szCs w:val="20"/>
              </w:rPr>
              <w:t xml:space="preserve">, </w:t>
            </w:r>
            <w:r>
              <w:rPr>
                <w:rFonts w:asciiTheme="minorHAnsi" w:hAnsiTheme="minorHAnsi" w:cstheme="minorHAnsi"/>
                <w:sz w:val="20"/>
                <w:szCs w:val="20"/>
              </w:rPr>
              <w:t>Chairman</w:t>
            </w:r>
          </w:p>
          <w:p w14:paraId="7986C1C7" w14:textId="77777777" w:rsidR="00856AEC" w:rsidRPr="0038404A" w:rsidRDefault="00856AEC" w:rsidP="00856AEC">
            <w:pPr>
              <w:rPr>
                <w:rFonts w:asciiTheme="minorHAnsi" w:hAnsiTheme="minorHAnsi" w:cstheme="minorHAnsi"/>
                <w:sz w:val="20"/>
                <w:szCs w:val="20"/>
              </w:rPr>
            </w:pPr>
            <w:r>
              <w:rPr>
                <w:rFonts w:asciiTheme="minorHAnsi" w:hAnsiTheme="minorHAnsi" w:cstheme="minorHAnsi"/>
                <w:sz w:val="20"/>
                <w:szCs w:val="20"/>
              </w:rPr>
              <w:t xml:space="preserve">Mortgage Bankers </w:t>
            </w:r>
            <w:r w:rsidRPr="0038404A">
              <w:rPr>
                <w:rFonts w:asciiTheme="minorHAnsi" w:hAnsiTheme="minorHAnsi" w:cstheme="minorHAnsi"/>
                <w:sz w:val="20"/>
                <w:szCs w:val="20"/>
              </w:rPr>
              <w:t>Assoc.</w:t>
            </w:r>
            <w:r>
              <w:rPr>
                <w:rFonts w:asciiTheme="minorHAnsi" w:hAnsiTheme="minorHAnsi" w:cstheme="minorHAnsi"/>
                <w:sz w:val="20"/>
                <w:szCs w:val="20"/>
              </w:rPr>
              <w:t xml:space="preserve"> of Missouri </w:t>
            </w:r>
          </w:p>
          <w:p w14:paraId="41C4E408" w14:textId="77777777" w:rsidR="00856AEC" w:rsidRPr="0038404A" w:rsidRDefault="00856AEC" w:rsidP="00856AEC">
            <w:pPr>
              <w:rPr>
                <w:rFonts w:asciiTheme="minorHAnsi" w:hAnsiTheme="minorHAnsi" w:cstheme="minorHAnsi"/>
                <w:sz w:val="20"/>
                <w:szCs w:val="20"/>
              </w:rPr>
            </w:pPr>
            <w:r>
              <w:rPr>
                <w:rFonts w:asciiTheme="minorHAnsi" w:hAnsiTheme="minorHAnsi" w:cstheme="minorHAnsi"/>
                <w:sz w:val="20"/>
                <w:szCs w:val="20"/>
              </w:rPr>
              <w:t>(816) 810-4062</w:t>
            </w:r>
          </w:p>
          <w:p w14:paraId="396CE0BF" w14:textId="77777777" w:rsidR="00856AEC" w:rsidRPr="00463276" w:rsidRDefault="00856AEC" w:rsidP="00856AEC">
            <w:pPr>
              <w:rPr>
                <w:rFonts w:asciiTheme="minorHAnsi" w:hAnsiTheme="minorHAnsi" w:cstheme="minorHAnsi"/>
                <w:color w:val="0000FF" w:themeColor="hyperlink"/>
                <w:sz w:val="20"/>
                <w:szCs w:val="20"/>
                <w:u w:val="single"/>
              </w:rPr>
            </w:pPr>
            <w:hyperlink r:id="rId35" w:history="1">
              <w:r w:rsidRPr="00463276">
                <w:rPr>
                  <w:rStyle w:val="Hyperlink"/>
                  <w:rFonts w:asciiTheme="minorHAnsi" w:hAnsiTheme="minorHAnsi" w:cstheme="minorHAnsi"/>
                  <w:sz w:val="20"/>
                  <w:szCs w:val="20"/>
                </w:rPr>
                <w:t>mbradford@paramountbank.com</w:t>
              </w:r>
            </w:hyperlink>
          </w:p>
          <w:p w14:paraId="01DFC18B" w14:textId="1057FC95" w:rsidR="00856AEC" w:rsidRPr="0038404A" w:rsidRDefault="00856AEC" w:rsidP="00856AEC">
            <w:pPr>
              <w:rPr>
                <w:rFonts w:asciiTheme="minorHAnsi" w:hAnsiTheme="minorHAnsi" w:cstheme="minorHAnsi"/>
                <w:sz w:val="20"/>
                <w:szCs w:val="20"/>
              </w:rPr>
            </w:pPr>
          </w:p>
        </w:tc>
      </w:tr>
      <w:tr w:rsidR="00856AEC" w14:paraId="30372C84" w14:textId="77777777" w:rsidTr="00A5744A">
        <w:trPr>
          <w:trHeight w:val="648"/>
        </w:trPr>
        <w:tc>
          <w:tcPr>
            <w:tcW w:w="3596" w:type="dxa"/>
          </w:tcPr>
          <w:p w14:paraId="1A844B66" w14:textId="4DE3BF77" w:rsidR="00856AEC" w:rsidRDefault="00856AEC" w:rsidP="00856AEC">
            <w:pPr>
              <w:rPr>
                <w:rFonts w:asciiTheme="minorHAnsi" w:hAnsiTheme="minorHAnsi" w:cstheme="minorHAnsi"/>
              </w:rPr>
            </w:pPr>
          </w:p>
        </w:tc>
        <w:tc>
          <w:tcPr>
            <w:tcW w:w="3597" w:type="dxa"/>
          </w:tcPr>
          <w:p w14:paraId="604D554C" w14:textId="460E03CF" w:rsidR="00856AEC" w:rsidRDefault="00856AEC" w:rsidP="00856AEC">
            <w:pPr>
              <w:rPr>
                <w:rFonts w:asciiTheme="minorHAnsi" w:hAnsiTheme="minorHAnsi" w:cstheme="minorHAnsi"/>
              </w:rPr>
            </w:pPr>
          </w:p>
        </w:tc>
        <w:tc>
          <w:tcPr>
            <w:tcW w:w="3597" w:type="dxa"/>
          </w:tcPr>
          <w:p w14:paraId="11CE3E42" w14:textId="77777777" w:rsidR="00856AEC" w:rsidRDefault="00856AEC" w:rsidP="00856AEC">
            <w:pPr>
              <w:rPr>
                <w:rFonts w:asciiTheme="minorHAnsi" w:hAnsiTheme="minorHAnsi" w:cstheme="minorHAnsi"/>
              </w:rPr>
            </w:pPr>
          </w:p>
        </w:tc>
      </w:tr>
    </w:tbl>
    <w:p w14:paraId="6E55B487" w14:textId="77777777" w:rsidR="00677A43" w:rsidRDefault="00677A43" w:rsidP="000254B9">
      <w:pPr>
        <w:rPr>
          <w:rFonts w:asciiTheme="minorHAnsi" w:hAnsiTheme="minorHAnsi" w:cstheme="minorHAnsi"/>
        </w:rPr>
      </w:pPr>
    </w:p>
    <w:sectPr w:rsidR="00677A43" w:rsidSect="00104A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583"/>
    <w:multiLevelType w:val="multilevel"/>
    <w:tmpl w:val="2848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B064B"/>
    <w:multiLevelType w:val="hybridMultilevel"/>
    <w:tmpl w:val="1242E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81BD0"/>
    <w:multiLevelType w:val="multilevel"/>
    <w:tmpl w:val="7592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62675"/>
    <w:multiLevelType w:val="hybridMultilevel"/>
    <w:tmpl w:val="7AE0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74192"/>
    <w:multiLevelType w:val="multilevel"/>
    <w:tmpl w:val="2848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76528"/>
    <w:multiLevelType w:val="multilevel"/>
    <w:tmpl w:val="081A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453DA"/>
    <w:multiLevelType w:val="multilevel"/>
    <w:tmpl w:val="2848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078B6"/>
    <w:multiLevelType w:val="hybridMultilevel"/>
    <w:tmpl w:val="05DC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B17C8"/>
    <w:multiLevelType w:val="multilevel"/>
    <w:tmpl w:val="2848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90F79"/>
    <w:multiLevelType w:val="hybridMultilevel"/>
    <w:tmpl w:val="9FE21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595919">
    <w:abstractNumId w:val="3"/>
  </w:num>
  <w:num w:numId="2" w16cid:durableId="210390801">
    <w:abstractNumId w:val="9"/>
  </w:num>
  <w:num w:numId="3" w16cid:durableId="1250851968">
    <w:abstractNumId w:val="6"/>
  </w:num>
  <w:num w:numId="4" w16cid:durableId="377242998">
    <w:abstractNumId w:val="5"/>
  </w:num>
  <w:num w:numId="5" w16cid:durableId="1895849568">
    <w:abstractNumId w:val="2"/>
  </w:num>
  <w:num w:numId="6" w16cid:durableId="1607351007">
    <w:abstractNumId w:val="7"/>
  </w:num>
  <w:num w:numId="7" w16cid:durableId="432819334">
    <w:abstractNumId w:val="1"/>
  </w:num>
  <w:num w:numId="8" w16cid:durableId="446239893">
    <w:abstractNumId w:val="8"/>
  </w:num>
  <w:num w:numId="9" w16cid:durableId="1620793153">
    <w:abstractNumId w:val="4"/>
  </w:num>
  <w:num w:numId="10" w16cid:durableId="62824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52"/>
    <w:rsid w:val="00013BE3"/>
    <w:rsid w:val="00020668"/>
    <w:rsid w:val="00021D21"/>
    <w:rsid w:val="000254B9"/>
    <w:rsid w:val="000260EF"/>
    <w:rsid w:val="00027E8C"/>
    <w:rsid w:val="00044E1B"/>
    <w:rsid w:val="000464E0"/>
    <w:rsid w:val="00056B99"/>
    <w:rsid w:val="00056F3E"/>
    <w:rsid w:val="00061198"/>
    <w:rsid w:val="000651BE"/>
    <w:rsid w:val="00072995"/>
    <w:rsid w:val="00077724"/>
    <w:rsid w:val="000859C7"/>
    <w:rsid w:val="00085B1A"/>
    <w:rsid w:val="0009472B"/>
    <w:rsid w:val="000A5898"/>
    <w:rsid w:val="000B126F"/>
    <w:rsid w:val="000B4712"/>
    <w:rsid w:val="000C0C38"/>
    <w:rsid w:val="000C35EA"/>
    <w:rsid w:val="000C38BE"/>
    <w:rsid w:val="000D1554"/>
    <w:rsid w:val="000D537E"/>
    <w:rsid w:val="000D677E"/>
    <w:rsid w:val="000D7794"/>
    <w:rsid w:val="000E5493"/>
    <w:rsid w:val="000E602C"/>
    <w:rsid w:val="000E60A6"/>
    <w:rsid w:val="000E6604"/>
    <w:rsid w:val="00100ECD"/>
    <w:rsid w:val="0010380B"/>
    <w:rsid w:val="00104AC3"/>
    <w:rsid w:val="00105AF3"/>
    <w:rsid w:val="00107613"/>
    <w:rsid w:val="001122EE"/>
    <w:rsid w:val="00122733"/>
    <w:rsid w:val="00124FD2"/>
    <w:rsid w:val="00126130"/>
    <w:rsid w:val="001269B2"/>
    <w:rsid w:val="00131A30"/>
    <w:rsid w:val="00147DC9"/>
    <w:rsid w:val="00152897"/>
    <w:rsid w:val="00157087"/>
    <w:rsid w:val="001615FB"/>
    <w:rsid w:val="0016196D"/>
    <w:rsid w:val="001639C5"/>
    <w:rsid w:val="001652EE"/>
    <w:rsid w:val="001738D3"/>
    <w:rsid w:val="00181BB0"/>
    <w:rsid w:val="001914D1"/>
    <w:rsid w:val="001920A1"/>
    <w:rsid w:val="00194CA7"/>
    <w:rsid w:val="00196D44"/>
    <w:rsid w:val="00197593"/>
    <w:rsid w:val="001B4D58"/>
    <w:rsid w:val="001C2AFB"/>
    <w:rsid w:val="001D1276"/>
    <w:rsid w:val="001D311E"/>
    <w:rsid w:val="001D76A1"/>
    <w:rsid w:val="001E2463"/>
    <w:rsid w:val="001E2F59"/>
    <w:rsid w:val="001F6369"/>
    <w:rsid w:val="001F6E6C"/>
    <w:rsid w:val="002004AD"/>
    <w:rsid w:val="002038D0"/>
    <w:rsid w:val="002169D6"/>
    <w:rsid w:val="00227EA3"/>
    <w:rsid w:val="0023304E"/>
    <w:rsid w:val="00233478"/>
    <w:rsid w:val="002416C2"/>
    <w:rsid w:val="00246387"/>
    <w:rsid w:val="00252CDB"/>
    <w:rsid w:val="002603A8"/>
    <w:rsid w:val="00260CB0"/>
    <w:rsid w:val="00261720"/>
    <w:rsid w:val="00263C94"/>
    <w:rsid w:val="0026755E"/>
    <w:rsid w:val="00272742"/>
    <w:rsid w:val="002802FD"/>
    <w:rsid w:val="002849FB"/>
    <w:rsid w:val="002917B5"/>
    <w:rsid w:val="00294A7A"/>
    <w:rsid w:val="002970B3"/>
    <w:rsid w:val="002A13A3"/>
    <w:rsid w:val="002A446B"/>
    <w:rsid w:val="002A563A"/>
    <w:rsid w:val="002A7F3A"/>
    <w:rsid w:val="002B14B8"/>
    <w:rsid w:val="002B355C"/>
    <w:rsid w:val="002B5952"/>
    <w:rsid w:val="002D03A6"/>
    <w:rsid w:val="002D14AC"/>
    <w:rsid w:val="002D2B2F"/>
    <w:rsid w:val="002D3AC3"/>
    <w:rsid w:val="002D4325"/>
    <w:rsid w:val="002E4000"/>
    <w:rsid w:val="002F2D53"/>
    <w:rsid w:val="002F3B08"/>
    <w:rsid w:val="00301312"/>
    <w:rsid w:val="00302EAF"/>
    <w:rsid w:val="00316F0D"/>
    <w:rsid w:val="00323B7A"/>
    <w:rsid w:val="00323ED9"/>
    <w:rsid w:val="003274A5"/>
    <w:rsid w:val="00333644"/>
    <w:rsid w:val="00335657"/>
    <w:rsid w:val="00336456"/>
    <w:rsid w:val="0034181E"/>
    <w:rsid w:val="00341D71"/>
    <w:rsid w:val="003506D7"/>
    <w:rsid w:val="003564F3"/>
    <w:rsid w:val="00361FC6"/>
    <w:rsid w:val="00363685"/>
    <w:rsid w:val="00376F03"/>
    <w:rsid w:val="00381167"/>
    <w:rsid w:val="003825BB"/>
    <w:rsid w:val="0038373C"/>
    <w:rsid w:val="00383767"/>
    <w:rsid w:val="0038401C"/>
    <w:rsid w:val="0038404A"/>
    <w:rsid w:val="003938C6"/>
    <w:rsid w:val="003B2BA3"/>
    <w:rsid w:val="003B35E0"/>
    <w:rsid w:val="003B54BA"/>
    <w:rsid w:val="003D1257"/>
    <w:rsid w:val="003D5FB9"/>
    <w:rsid w:val="003E25F0"/>
    <w:rsid w:val="003E7AEC"/>
    <w:rsid w:val="003F7183"/>
    <w:rsid w:val="004027C2"/>
    <w:rsid w:val="00411A46"/>
    <w:rsid w:val="0041216C"/>
    <w:rsid w:val="00413220"/>
    <w:rsid w:val="00415C6B"/>
    <w:rsid w:val="00420E32"/>
    <w:rsid w:val="00423D1A"/>
    <w:rsid w:val="004341C6"/>
    <w:rsid w:val="004429FF"/>
    <w:rsid w:val="004479BA"/>
    <w:rsid w:val="004501F2"/>
    <w:rsid w:val="004519BC"/>
    <w:rsid w:val="00453125"/>
    <w:rsid w:val="00463276"/>
    <w:rsid w:val="00472C66"/>
    <w:rsid w:val="004759EF"/>
    <w:rsid w:val="00484713"/>
    <w:rsid w:val="004904CB"/>
    <w:rsid w:val="004B16B8"/>
    <w:rsid w:val="004B489C"/>
    <w:rsid w:val="004B6AC2"/>
    <w:rsid w:val="004C2FC4"/>
    <w:rsid w:val="004C7BEB"/>
    <w:rsid w:val="004D0CB1"/>
    <w:rsid w:val="004D7E6F"/>
    <w:rsid w:val="004E4505"/>
    <w:rsid w:val="004E6AF9"/>
    <w:rsid w:val="004F0127"/>
    <w:rsid w:val="004F367C"/>
    <w:rsid w:val="005002BA"/>
    <w:rsid w:val="00500770"/>
    <w:rsid w:val="0050501F"/>
    <w:rsid w:val="00505902"/>
    <w:rsid w:val="00506B76"/>
    <w:rsid w:val="00507BE6"/>
    <w:rsid w:val="00510ACC"/>
    <w:rsid w:val="005138B8"/>
    <w:rsid w:val="00514CC8"/>
    <w:rsid w:val="00535DF0"/>
    <w:rsid w:val="005415E8"/>
    <w:rsid w:val="00542AA6"/>
    <w:rsid w:val="00544961"/>
    <w:rsid w:val="00546646"/>
    <w:rsid w:val="00557751"/>
    <w:rsid w:val="00570C38"/>
    <w:rsid w:val="00576B9C"/>
    <w:rsid w:val="005A0B49"/>
    <w:rsid w:val="005A332E"/>
    <w:rsid w:val="005B07DC"/>
    <w:rsid w:val="005B2BE2"/>
    <w:rsid w:val="005B3052"/>
    <w:rsid w:val="005B3D9F"/>
    <w:rsid w:val="005C19C6"/>
    <w:rsid w:val="005C59A8"/>
    <w:rsid w:val="005E03B2"/>
    <w:rsid w:val="005E15A4"/>
    <w:rsid w:val="005E2989"/>
    <w:rsid w:val="005E721C"/>
    <w:rsid w:val="005F5F98"/>
    <w:rsid w:val="005F7E75"/>
    <w:rsid w:val="006145A9"/>
    <w:rsid w:val="006162AA"/>
    <w:rsid w:val="00616D24"/>
    <w:rsid w:val="00625C8E"/>
    <w:rsid w:val="00637BE1"/>
    <w:rsid w:val="006421C1"/>
    <w:rsid w:val="00643E46"/>
    <w:rsid w:val="00644D67"/>
    <w:rsid w:val="00647F09"/>
    <w:rsid w:val="00661288"/>
    <w:rsid w:val="00661DA7"/>
    <w:rsid w:val="00664A29"/>
    <w:rsid w:val="006739EF"/>
    <w:rsid w:val="00677A43"/>
    <w:rsid w:val="00680712"/>
    <w:rsid w:val="006960D2"/>
    <w:rsid w:val="00696AE7"/>
    <w:rsid w:val="006A166B"/>
    <w:rsid w:val="006A2F49"/>
    <w:rsid w:val="006A65E6"/>
    <w:rsid w:val="006B061B"/>
    <w:rsid w:val="006B5198"/>
    <w:rsid w:val="006C5B4C"/>
    <w:rsid w:val="006C79B1"/>
    <w:rsid w:val="006D5144"/>
    <w:rsid w:val="006E0143"/>
    <w:rsid w:val="006E34FA"/>
    <w:rsid w:val="006F465F"/>
    <w:rsid w:val="00710271"/>
    <w:rsid w:val="007164CF"/>
    <w:rsid w:val="007236CC"/>
    <w:rsid w:val="00746BC1"/>
    <w:rsid w:val="00746FEF"/>
    <w:rsid w:val="00762E9C"/>
    <w:rsid w:val="007646B1"/>
    <w:rsid w:val="00770AE6"/>
    <w:rsid w:val="007718EA"/>
    <w:rsid w:val="00772751"/>
    <w:rsid w:val="0077517E"/>
    <w:rsid w:val="007759B7"/>
    <w:rsid w:val="007801FB"/>
    <w:rsid w:val="0078415B"/>
    <w:rsid w:val="00790EA7"/>
    <w:rsid w:val="007910B1"/>
    <w:rsid w:val="00791964"/>
    <w:rsid w:val="00792780"/>
    <w:rsid w:val="0079548B"/>
    <w:rsid w:val="007A2C92"/>
    <w:rsid w:val="007B04BF"/>
    <w:rsid w:val="007B6861"/>
    <w:rsid w:val="007C02FE"/>
    <w:rsid w:val="007C041A"/>
    <w:rsid w:val="007D6739"/>
    <w:rsid w:val="007F26A1"/>
    <w:rsid w:val="00803770"/>
    <w:rsid w:val="008049B5"/>
    <w:rsid w:val="00805B69"/>
    <w:rsid w:val="00807FF0"/>
    <w:rsid w:val="00814700"/>
    <w:rsid w:val="008159AB"/>
    <w:rsid w:val="0082050E"/>
    <w:rsid w:val="00822DE5"/>
    <w:rsid w:val="00824658"/>
    <w:rsid w:val="00826498"/>
    <w:rsid w:val="0083696C"/>
    <w:rsid w:val="00837E7F"/>
    <w:rsid w:val="00856AEC"/>
    <w:rsid w:val="00863761"/>
    <w:rsid w:val="00863CA5"/>
    <w:rsid w:val="00865F6F"/>
    <w:rsid w:val="00870DE9"/>
    <w:rsid w:val="00871469"/>
    <w:rsid w:val="0087485E"/>
    <w:rsid w:val="008752DA"/>
    <w:rsid w:val="00875A9A"/>
    <w:rsid w:val="008809A7"/>
    <w:rsid w:val="008815B4"/>
    <w:rsid w:val="00881F3B"/>
    <w:rsid w:val="008873BE"/>
    <w:rsid w:val="008955EF"/>
    <w:rsid w:val="008B54AB"/>
    <w:rsid w:val="008C20AF"/>
    <w:rsid w:val="008D25A4"/>
    <w:rsid w:val="008D303D"/>
    <w:rsid w:val="008D3A41"/>
    <w:rsid w:val="008D4839"/>
    <w:rsid w:val="008D5DF9"/>
    <w:rsid w:val="008D64D2"/>
    <w:rsid w:val="008F454C"/>
    <w:rsid w:val="00900FA8"/>
    <w:rsid w:val="00902805"/>
    <w:rsid w:val="009079ED"/>
    <w:rsid w:val="00911E1A"/>
    <w:rsid w:val="00922BBF"/>
    <w:rsid w:val="00925349"/>
    <w:rsid w:val="00926E0F"/>
    <w:rsid w:val="009307C7"/>
    <w:rsid w:val="0094612B"/>
    <w:rsid w:val="009513D9"/>
    <w:rsid w:val="00963729"/>
    <w:rsid w:val="00965D9C"/>
    <w:rsid w:val="0097218D"/>
    <w:rsid w:val="0097308B"/>
    <w:rsid w:val="0097471D"/>
    <w:rsid w:val="00981559"/>
    <w:rsid w:val="009967CA"/>
    <w:rsid w:val="00997377"/>
    <w:rsid w:val="009A2DA2"/>
    <w:rsid w:val="009A31B4"/>
    <w:rsid w:val="009B1138"/>
    <w:rsid w:val="009B156A"/>
    <w:rsid w:val="009B2808"/>
    <w:rsid w:val="009B5C50"/>
    <w:rsid w:val="009C12E7"/>
    <w:rsid w:val="009C1D0B"/>
    <w:rsid w:val="009C4FBA"/>
    <w:rsid w:val="009C568E"/>
    <w:rsid w:val="009D05A0"/>
    <w:rsid w:val="009E06D7"/>
    <w:rsid w:val="009F0DBD"/>
    <w:rsid w:val="00A12285"/>
    <w:rsid w:val="00A243B7"/>
    <w:rsid w:val="00A254C8"/>
    <w:rsid w:val="00A30AB9"/>
    <w:rsid w:val="00A33205"/>
    <w:rsid w:val="00A37285"/>
    <w:rsid w:val="00A42C4F"/>
    <w:rsid w:val="00A45706"/>
    <w:rsid w:val="00A47B2D"/>
    <w:rsid w:val="00A5744A"/>
    <w:rsid w:val="00A657CC"/>
    <w:rsid w:val="00A672D0"/>
    <w:rsid w:val="00A73BD0"/>
    <w:rsid w:val="00A82D24"/>
    <w:rsid w:val="00A83CA7"/>
    <w:rsid w:val="00A87016"/>
    <w:rsid w:val="00A97776"/>
    <w:rsid w:val="00AA08F8"/>
    <w:rsid w:val="00AA0F72"/>
    <w:rsid w:val="00AB1D92"/>
    <w:rsid w:val="00AB33AD"/>
    <w:rsid w:val="00AB453F"/>
    <w:rsid w:val="00AE3E78"/>
    <w:rsid w:val="00AE4DB6"/>
    <w:rsid w:val="00AF0FB6"/>
    <w:rsid w:val="00AF59D8"/>
    <w:rsid w:val="00AF7B69"/>
    <w:rsid w:val="00B00E44"/>
    <w:rsid w:val="00B07EF4"/>
    <w:rsid w:val="00B1033F"/>
    <w:rsid w:val="00B106AF"/>
    <w:rsid w:val="00B131CE"/>
    <w:rsid w:val="00B210F6"/>
    <w:rsid w:val="00B22897"/>
    <w:rsid w:val="00B27780"/>
    <w:rsid w:val="00B27D61"/>
    <w:rsid w:val="00B305DD"/>
    <w:rsid w:val="00B30C3F"/>
    <w:rsid w:val="00B3193B"/>
    <w:rsid w:val="00B31D80"/>
    <w:rsid w:val="00B32B87"/>
    <w:rsid w:val="00B3453A"/>
    <w:rsid w:val="00B45057"/>
    <w:rsid w:val="00B46D07"/>
    <w:rsid w:val="00B4784F"/>
    <w:rsid w:val="00B5083C"/>
    <w:rsid w:val="00B516E7"/>
    <w:rsid w:val="00B54830"/>
    <w:rsid w:val="00B57071"/>
    <w:rsid w:val="00B62BF4"/>
    <w:rsid w:val="00B642EE"/>
    <w:rsid w:val="00B65E23"/>
    <w:rsid w:val="00B670CE"/>
    <w:rsid w:val="00B85578"/>
    <w:rsid w:val="00B86265"/>
    <w:rsid w:val="00B86BD9"/>
    <w:rsid w:val="00B941B0"/>
    <w:rsid w:val="00B95FD2"/>
    <w:rsid w:val="00BA101B"/>
    <w:rsid w:val="00BA3C25"/>
    <w:rsid w:val="00BC3484"/>
    <w:rsid w:val="00BF3884"/>
    <w:rsid w:val="00BF48D6"/>
    <w:rsid w:val="00C13BB7"/>
    <w:rsid w:val="00C21577"/>
    <w:rsid w:val="00C2218D"/>
    <w:rsid w:val="00C24DED"/>
    <w:rsid w:val="00C26B50"/>
    <w:rsid w:val="00C40490"/>
    <w:rsid w:val="00C42035"/>
    <w:rsid w:val="00C44D15"/>
    <w:rsid w:val="00C61873"/>
    <w:rsid w:val="00C65C56"/>
    <w:rsid w:val="00C72522"/>
    <w:rsid w:val="00C810A1"/>
    <w:rsid w:val="00C8337B"/>
    <w:rsid w:val="00C863D9"/>
    <w:rsid w:val="00C86CBB"/>
    <w:rsid w:val="00C92B93"/>
    <w:rsid w:val="00CA14F4"/>
    <w:rsid w:val="00CA694E"/>
    <w:rsid w:val="00CB11C6"/>
    <w:rsid w:val="00CB3500"/>
    <w:rsid w:val="00CB5AC5"/>
    <w:rsid w:val="00CC1A85"/>
    <w:rsid w:val="00CC5600"/>
    <w:rsid w:val="00CC64EE"/>
    <w:rsid w:val="00CD6D5C"/>
    <w:rsid w:val="00CE1073"/>
    <w:rsid w:val="00CF35C9"/>
    <w:rsid w:val="00CF73C2"/>
    <w:rsid w:val="00D0643B"/>
    <w:rsid w:val="00D14C87"/>
    <w:rsid w:val="00D1723D"/>
    <w:rsid w:val="00D212FB"/>
    <w:rsid w:val="00D21B9B"/>
    <w:rsid w:val="00D31A7B"/>
    <w:rsid w:val="00D353B3"/>
    <w:rsid w:val="00D36699"/>
    <w:rsid w:val="00D417FA"/>
    <w:rsid w:val="00D42139"/>
    <w:rsid w:val="00D50EB6"/>
    <w:rsid w:val="00D51A17"/>
    <w:rsid w:val="00D62966"/>
    <w:rsid w:val="00D63D4E"/>
    <w:rsid w:val="00D63F61"/>
    <w:rsid w:val="00D6455E"/>
    <w:rsid w:val="00D7069C"/>
    <w:rsid w:val="00D72B47"/>
    <w:rsid w:val="00D7439D"/>
    <w:rsid w:val="00D81812"/>
    <w:rsid w:val="00D84091"/>
    <w:rsid w:val="00D853A6"/>
    <w:rsid w:val="00D854B5"/>
    <w:rsid w:val="00D868CE"/>
    <w:rsid w:val="00D97279"/>
    <w:rsid w:val="00DB716B"/>
    <w:rsid w:val="00DB7265"/>
    <w:rsid w:val="00DD001B"/>
    <w:rsid w:val="00DD1927"/>
    <w:rsid w:val="00DD6268"/>
    <w:rsid w:val="00DD7298"/>
    <w:rsid w:val="00DE3BB2"/>
    <w:rsid w:val="00E04C46"/>
    <w:rsid w:val="00E0684D"/>
    <w:rsid w:val="00E11C65"/>
    <w:rsid w:val="00E23753"/>
    <w:rsid w:val="00E33172"/>
    <w:rsid w:val="00E355D0"/>
    <w:rsid w:val="00E5165E"/>
    <w:rsid w:val="00E52102"/>
    <w:rsid w:val="00E568B7"/>
    <w:rsid w:val="00E57AA2"/>
    <w:rsid w:val="00E60D42"/>
    <w:rsid w:val="00E74BB9"/>
    <w:rsid w:val="00E81AF2"/>
    <w:rsid w:val="00E90960"/>
    <w:rsid w:val="00E978BE"/>
    <w:rsid w:val="00EA60BC"/>
    <w:rsid w:val="00EB316E"/>
    <w:rsid w:val="00ED2408"/>
    <w:rsid w:val="00ED38E3"/>
    <w:rsid w:val="00ED3E68"/>
    <w:rsid w:val="00EE7FD9"/>
    <w:rsid w:val="00F00999"/>
    <w:rsid w:val="00F0234B"/>
    <w:rsid w:val="00F1697C"/>
    <w:rsid w:val="00F211DA"/>
    <w:rsid w:val="00F2480F"/>
    <w:rsid w:val="00F25865"/>
    <w:rsid w:val="00F349B1"/>
    <w:rsid w:val="00F37B5B"/>
    <w:rsid w:val="00F41FEC"/>
    <w:rsid w:val="00F44F43"/>
    <w:rsid w:val="00F46857"/>
    <w:rsid w:val="00F472B0"/>
    <w:rsid w:val="00F557F7"/>
    <w:rsid w:val="00F73D26"/>
    <w:rsid w:val="00F8226F"/>
    <w:rsid w:val="00F86555"/>
    <w:rsid w:val="00F91197"/>
    <w:rsid w:val="00FA4E2F"/>
    <w:rsid w:val="00FA7C9B"/>
    <w:rsid w:val="00FB1B53"/>
    <w:rsid w:val="00FB624B"/>
    <w:rsid w:val="00FC094D"/>
    <w:rsid w:val="00FC3743"/>
    <w:rsid w:val="00FC59E3"/>
    <w:rsid w:val="00FC6EDD"/>
    <w:rsid w:val="00FD2979"/>
    <w:rsid w:val="00FD3D7D"/>
    <w:rsid w:val="00FD48A9"/>
    <w:rsid w:val="00FE43EF"/>
    <w:rsid w:val="00FF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3D05"/>
  <w15:chartTrackingRefBased/>
  <w15:docId w15:val="{B5E48B69-4AE7-4571-9B9A-6543A51C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Calibri" w:hAnsi="Bookman Old Style"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3BE"/>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0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052"/>
    <w:rPr>
      <w:rFonts w:ascii="Segoe UI" w:hAnsi="Segoe UI" w:cs="Segoe UI"/>
      <w:sz w:val="18"/>
      <w:szCs w:val="18"/>
    </w:rPr>
  </w:style>
  <w:style w:type="paragraph" w:styleId="ListParagraph">
    <w:name w:val="List Paragraph"/>
    <w:basedOn w:val="Normal"/>
    <w:uiPriority w:val="34"/>
    <w:qFormat/>
    <w:rsid w:val="005B3052"/>
    <w:pPr>
      <w:ind w:left="720"/>
      <w:contextualSpacing/>
    </w:pPr>
  </w:style>
  <w:style w:type="character" w:styleId="Hyperlink">
    <w:name w:val="Hyperlink"/>
    <w:basedOn w:val="DefaultParagraphFont"/>
    <w:uiPriority w:val="99"/>
    <w:unhideWhenUsed/>
    <w:rsid w:val="000254B9"/>
    <w:rPr>
      <w:color w:val="0000FF" w:themeColor="hyperlink"/>
      <w:u w:val="single"/>
    </w:rPr>
  </w:style>
  <w:style w:type="character" w:styleId="UnresolvedMention">
    <w:name w:val="Unresolved Mention"/>
    <w:basedOn w:val="DefaultParagraphFont"/>
    <w:uiPriority w:val="99"/>
    <w:semiHidden/>
    <w:unhideWhenUsed/>
    <w:rsid w:val="000254B9"/>
    <w:rPr>
      <w:color w:val="605E5C"/>
      <w:shd w:val="clear" w:color="auto" w:fill="E1DFDD"/>
    </w:rPr>
  </w:style>
  <w:style w:type="character" w:styleId="Strong">
    <w:name w:val="Strong"/>
    <w:basedOn w:val="DefaultParagraphFont"/>
    <w:uiPriority w:val="22"/>
    <w:qFormat/>
    <w:rsid w:val="008809A7"/>
    <w:rPr>
      <w:b/>
      <w:bCs/>
    </w:rPr>
  </w:style>
  <w:style w:type="character" w:styleId="FollowedHyperlink">
    <w:name w:val="FollowedHyperlink"/>
    <w:basedOn w:val="DefaultParagraphFont"/>
    <w:uiPriority w:val="99"/>
    <w:semiHidden/>
    <w:unhideWhenUsed/>
    <w:rsid w:val="006F465F"/>
    <w:rPr>
      <w:color w:val="800080" w:themeColor="followedHyperlink"/>
      <w:u w:val="single"/>
    </w:rPr>
  </w:style>
  <w:style w:type="paragraph" w:customStyle="1" w:styleId="continue-read-break">
    <w:name w:val="continue-read-break"/>
    <w:basedOn w:val="Normal"/>
    <w:rsid w:val="000C38BE"/>
    <w:pPr>
      <w:spacing w:before="100" w:beforeAutospacing="1" w:after="100" w:afterAutospacing="1" w:line="240" w:lineRule="auto"/>
    </w:pPr>
    <w:rPr>
      <w:rFonts w:ascii="Times New Roman" w:eastAsia="Times New Roman" w:hAnsi="Times New Roman"/>
    </w:rPr>
  </w:style>
  <w:style w:type="paragraph" w:styleId="NormalWeb">
    <w:name w:val="Normal (Web)"/>
    <w:basedOn w:val="Normal"/>
    <w:uiPriority w:val="99"/>
    <w:semiHidden/>
    <w:unhideWhenUsed/>
    <w:rsid w:val="000C38BE"/>
    <w:pPr>
      <w:spacing w:before="100" w:beforeAutospacing="1" w:after="100" w:afterAutospacing="1" w:line="240" w:lineRule="auto"/>
    </w:pPr>
    <w:rPr>
      <w:rFonts w:ascii="Times New Roman" w:eastAsia="Times New Roman" w:hAnsi="Times New Roman"/>
    </w:rPr>
  </w:style>
  <w:style w:type="table" w:styleId="TableGrid">
    <w:name w:val="Table Grid"/>
    <w:basedOn w:val="TableNormal"/>
    <w:uiPriority w:val="59"/>
    <w:rsid w:val="005E1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5545">
      <w:bodyDiv w:val="1"/>
      <w:marLeft w:val="0"/>
      <w:marRight w:val="0"/>
      <w:marTop w:val="0"/>
      <w:marBottom w:val="0"/>
      <w:divBdr>
        <w:top w:val="none" w:sz="0" w:space="0" w:color="auto"/>
        <w:left w:val="none" w:sz="0" w:space="0" w:color="auto"/>
        <w:bottom w:val="none" w:sz="0" w:space="0" w:color="auto"/>
        <w:right w:val="none" w:sz="0" w:space="0" w:color="auto"/>
      </w:divBdr>
    </w:div>
    <w:div w:id="174614249">
      <w:bodyDiv w:val="1"/>
      <w:marLeft w:val="0"/>
      <w:marRight w:val="0"/>
      <w:marTop w:val="0"/>
      <w:marBottom w:val="0"/>
      <w:divBdr>
        <w:top w:val="none" w:sz="0" w:space="0" w:color="auto"/>
        <w:left w:val="none" w:sz="0" w:space="0" w:color="auto"/>
        <w:bottom w:val="none" w:sz="0" w:space="0" w:color="auto"/>
        <w:right w:val="none" w:sz="0" w:space="0" w:color="auto"/>
      </w:divBdr>
    </w:div>
    <w:div w:id="201132324">
      <w:bodyDiv w:val="1"/>
      <w:marLeft w:val="0"/>
      <w:marRight w:val="0"/>
      <w:marTop w:val="0"/>
      <w:marBottom w:val="0"/>
      <w:divBdr>
        <w:top w:val="none" w:sz="0" w:space="0" w:color="auto"/>
        <w:left w:val="none" w:sz="0" w:space="0" w:color="auto"/>
        <w:bottom w:val="none" w:sz="0" w:space="0" w:color="auto"/>
        <w:right w:val="none" w:sz="0" w:space="0" w:color="auto"/>
      </w:divBdr>
    </w:div>
    <w:div w:id="556818642">
      <w:bodyDiv w:val="1"/>
      <w:marLeft w:val="0"/>
      <w:marRight w:val="0"/>
      <w:marTop w:val="0"/>
      <w:marBottom w:val="0"/>
      <w:divBdr>
        <w:top w:val="none" w:sz="0" w:space="0" w:color="auto"/>
        <w:left w:val="none" w:sz="0" w:space="0" w:color="auto"/>
        <w:bottom w:val="none" w:sz="0" w:space="0" w:color="auto"/>
        <w:right w:val="none" w:sz="0" w:space="0" w:color="auto"/>
      </w:divBdr>
    </w:div>
    <w:div w:id="565068300">
      <w:bodyDiv w:val="1"/>
      <w:marLeft w:val="0"/>
      <w:marRight w:val="0"/>
      <w:marTop w:val="0"/>
      <w:marBottom w:val="0"/>
      <w:divBdr>
        <w:top w:val="none" w:sz="0" w:space="0" w:color="auto"/>
        <w:left w:val="none" w:sz="0" w:space="0" w:color="auto"/>
        <w:bottom w:val="none" w:sz="0" w:space="0" w:color="auto"/>
        <w:right w:val="none" w:sz="0" w:space="0" w:color="auto"/>
      </w:divBdr>
    </w:div>
    <w:div w:id="777682746">
      <w:bodyDiv w:val="1"/>
      <w:marLeft w:val="0"/>
      <w:marRight w:val="0"/>
      <w:marTop w:val="0"/>
      <w:marBottom w:val="0"/>
      <w:divBdr>
        <w:top w:val="none" w:sz="0" w:space="0" w:color="auto"/>
        <w:left w:val="none" w:sz="0" w:space="0" w:color="auto"/>
        <w:bottom w:val="none" w:sz="0" w:space="0" w:color="auto"/>
        <w:right w:val="none" w:sz="0" w:space="0" w:color="auto"/>
      </w:divBdr>
    </w:div>
    <w:div w:id="821577386">
      <w:bodyDiv w:val="1"/>
      <w:marLeft w:val="0"/>
      <w:marRight w:val="0"/>
      <w:marTop w:val="0"/>
      <w:marBottom w:val="0"/>
      <w:divBdr>
        <w:top w:val="none" w:sz="0" w:space="0" w:color="auto"/>
        <w:left w:val="none" w:sz="0" w:space="0" w:color="auto"/>
        <w:bottom w:val="none" w:sz="0" w:space="0" w:color="auto"/>
        <w:right w:val="none" w:sz="0" w:space="0" w:color="auto"/>
      </w:divBdr>
    </w:div>
    <w:div w:id="959799256">
      <w:bodyDiv w:val="1"/>
      <w:marLeft w:val="0"/>
      <w:marRight w:val="0"/>
      <w:marTop w:val="0"/>
      <w:marBottom w:val="0"/>
      <w:divBdr>
        <w:top w:val="none" w:sz="0" w:space="0" w:color="auto"/>
        <w:left w:val="none" w:sz="0" w:space="0" w:color="auto"/>
        <w:bottom w:val="none" w:sz="0" w:space="0" w:color="auto"/>
        <w:right w:val="none" w:sz="0" w:space="0" w:color="auto"/>
      </w:divBdr>
    </w:div>
    <w:div w:id="1478917842">
      <w:bodyDiv w:val="1"/>
      <w:marLeft w:val="0"/>
      <w:marRight w:val="0"/>
      <w:marTop w:val="0"/>
      <w:marBottom w:val="0"/>
      <w:divBdr>
        <w:top w:val="none" w:sz="0" w:space="0" w:color="auto"/>
        <w:left w:val="none" w:sz="0" w:space="0" w:color="auto"/>
        <w:bottom w:val="none" w:sz="0" w:space="0" w:color="auto"/>
        <w:right w:val="none" w:sz="0" w:space="0" w:color="auto"/>
      </w:divBdr>
    </w:div>
    <w:div w:id="1531916706">
      <w:bodyDiv w:val="1"/>
      <w:marLeft w:val="0"/>
      <w:marRight w:val="0"/>
      <w:marTop w:val="0"/>
      <w:marBottom w:val="0"/>
      <w:divBdr>
        <w:top w:val="none" w:sz="0" w:space="0" w:color="auto"/>
        <w:left w:val="none" w:sz="0" w:space="0" w:color="auto"/>
        <w:bottom w:val="none" w:sz="0" w:space="0" w:color="auto"/>
        <w:right w:val="none" w:sz="0" w:space="0" w:color="auto"/>
      </w:divBdr>
    </w:div>
    <w:div w:id="1713655807">
      <w:bodyDiv w:val="1"/>
      <w:marLeft w:val="0"/>
      <w:marRight w:val="0"/>
      <w:marTop w:val="0"/>
      <w:marBottom w:val="0"/>
      <w:divBdr>
        <w:top w:val="none" w:sz="0" w:space="0" w:color="auto"/>
        <w:left w:val="none" w:sz="0" w:space="0" w:color="auto"/>
        <w:bottom w:val="none" w:sz="0" w:space="0" w:color="auto"/>
        <w:right w:val="none" w:sz="0" w:space="0" w:color="auto"/>
      </w:divBdr>
    </w:div>
    <w:div w:id="20978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ta.org/business-operations/research-initiatives-and-resources/industry-financial-data/" TargetMode="External"/><Relationship Id="rId18" Type="http://schemas.openxmlformats.org/officeDocument/2006/relationships/hyperlink" Target="https://www.msn.com/en-us/money/realestate/big-jump-in-insurance-costs-strikes-condos/ar-BB1omima" TargetMode="External"/><Relationship Id="rId26" Type="http://schemas.openxmlformats.org/officeDocument/2006/relationships/hyperlink" Target="https://sf.freddiemac.com/docs/pdf/cost-to-originate-full-study-2024.pdf" TargetMode="External"/><Relationship Id="rId21" Type="http://schemas.openxmlformats.org/officeDocument/2006/relationships/hyperlink" Target="https://www.ftc.gov/enforcement/anticompetitive-practices" TargetMode="External"/><Relationship Id="rId34" Type="http://schemas.openxmlformats.org/officeDocument/2006/relationships/hyperlink" Target="mailto:dmenke@capstarbank.com"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s://www.nber.org/papers/w32579" TargetMode="External"/><Relationship Id="rId25" Type="http://schemas.openxmlformats.org/officeDocument/2006/relationships/hyperlink" Target="https://www.fhfa.gov/sites/default/files/2024-06/FHFA-HPI-Monthly_06252024.pdf" TargetMode="External"/><Relationship Id="rId33" Type="http://schemas.openxmlformats.org/officeDocument/2006/relationships/hyperlink" Target="mailto:swhitehead@uhm.com" TargetMode="External"/><Relationship Id="rId2" Type="http://schemas.openxmlformats.org/officeDocument/2006/relationships/customXml" Target="../customXml/item2.xml"/><Relationship Id="rId16" Type="http://schemas.openxmlformats.org/officeDocument/2006/relationships/hyperlink" Target="https://www.spglobal.com/marketintelligence/en/news-insights/latest-news-headlines/us-homeowners-insurance-rates-jump-by-double-digits-in-2023-80057804" TargetMode="External"/><Relationship Id="rId20" Type="http://schemas.openxmlformats.org/officeDocument/2006/relationships/hyperlink" Target="https://www.fico.com/en/industries" TargetMode="External"/><Relationship Id="rId29" Type="http://schemas.openxmlformats.org/officeDocument/2006/relationships/hyperlink" Target="https://www.jchs.harvard.edu/sites/default/files/reports/files/Harvard_JCHS_The_State_of_the_Nations_Housing_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www.nar.realtor/blogs/economists-outlook/latest-existing-home-sales-data-graphs" TargetMode="External"/><Relationship Id="rId32" Type="http://schemas.openxmlformats.org/officeDocument/2006/relationships/hyperlink" Target="mailto:Erica.j.byrne@gmail.com"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lta.org/media/pdf/240517-analysis-of-claims-and-claims-related-losses-in-the-land-title-insurance-industry.pdf" TargetMode="External"/><Relationship Id="rId23" Type="http://schemas.openxmlformats.org/officeDocument/2006/relationships/hyperlink" Target="https://money.usnews.com/loans/mortgages/articles/historical-mortgage-rates" TargetMode="External"/><Relationship Id="rId28" Type="http://schemas.openxmlformats.org/officeDocument/2006/relationships/hyperlink" Target="https://guide.freddiemac.com/ci/okcsFattach/get/1001717_5"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ncrainc.org/cmss_files/attachmentlibrary/2022-11-Price-statement-4871-3419-6543-v-1-Final2.pdf" TargetMode="External"/><Relationship Id="rId31" Type="http://schemas.openxmlformats.org/officeDocument/2006/relationships/hyperlink" Target="https://www.jchs.harvard.edu/state-nations-housing-2021"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alta.org/press/05012024_Title%20Premiums%202023.pdf" TargetMode="External"/><Relationship Id="rId22" Type="http://schemas.openxmlformats.org/officeDocument/2006/relationships/hyperlink" Target="https://www.fhfa.gov/policy/credit-scores" TargetMode="External"/><Relationship Id="rId27" Type="http://schemas.openxmlformats.org/officeDocument/2006/relationships/hyperlink" Target="https://capitalmarkets.fanniemae.com/mortgage-backed-securities/fannie-mae-announces-new-loan-level-price-adjustment-framework" TargetMode="External"/><Relationship Id="rId30" Type="http://schemas.openxmlformats.org/officeDocument/2006/relationships/hyperlink" Target="https://www.jchs.harvard.edu/state-nations-housing-2022" TargetMode="External"/><Relationship Id="rId35" Type="http://schemas.openxmlformats.org/officeDocument/2006/relationships/hyperlink" Target="mailto:mbradford@paramountbank.com" TargetMode="External"/><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844A7844038246B062586F9F737228" ma:contentTypeVersion="13" ma:contentTypeDescription="Create a new document." ma:contentTypeScope="" ma:versionID="43fa1a966a1aa19cb2d678616d424030">
  <xsd:schema xmlns:xsd="http://www.w3.org/2001/XMLSchema" xmlns:xs="http://www.w3.org/2001/XMLSchema" xmlns:p="http://schemas.microsoft.com/office/2006/metadata/properties" xmlns:ns3="48525a3c-e706-4d03-9487-764553f55fbf" xmlns:ns4="2704ab70-66f4-4bbc-8594-34c835fd66ca" targetNamespace="http://schemas.microsoft.com/office/2006/metadata/properties" ma:root="true" ma:fieldsID="4b8bf9791724325566369ee9d02fb7da" ns3:_="" ns4:_="">
    <xsd:import namespace="48525a3c-e706-4d03-9487-764553f55fbf"/>
    <xsd:import namespace="2704ab70-66f4-4bbc-8594-34c835fd6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5a3c-e706-4d03-9487-764553f5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4ab70-66f4-4bbc-8594-34c835fd66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AE5F5-D41C-43A9-A321-F93222686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5591CB-1920-4E17-9811-08870F764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5a3c-e706-4d03-9487-764553f55fbf"/>
    <ds:schemaRef ds:uri="2704ab70-66f4-4bbc-8594-34c835fd6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D9E6A-4E1C-4AA9-A7EA-AE088E05E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Dillingham</dc:creator>
  <cp:keywords/>
  <dc:description/>
  <cp:lastModifiedBy>Erica Byrne</cp:lastModifiedBy>
  <cp:revision>2</cp:revision>
  <cp:lastPrinted>2024-07-29T22:01:00Z</cp:lastPrinted>
  <dcterms:created xsi:type="dcterms:W3CDTF">2024-08-02T15:20:00Z</dcterms:created>
  <dcterms:modified xsi:type="dcterms:W3CDTF">2024-08-02T15:20:00Z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0x01010006844A7844038246B062586F9F737228</vt:lpwstr>
  </property>
</Properties>
</file>