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BD6" w:rsidRPr="00FF0BD6" w:rsidRDefault="00FF0BD6" w:rsidP="00FF0BD6">
      <w:pPr>
        <w:spacing w:after="0"/>
        <w:jc w:val="center"/>
        <w:rPr>
          <w:rFonts w:ascii="Verdana" w:hAnsi="Verdana"/>
          <w:b/>
          <w:sz w:val="18"/>
          <w:szCs w:val="18"/>
        </w:rPr>
      </w:pPr>
      <w:r w:rsidRPr="00FF0BD6">
        <w:rPr>
          <w:rFonts w:ascii="Verdana" w:hAnsi="Verdana" w:cs="Arial"/>
          <w:b/>
          <w:bCs/>
          <w:i/>
          <w:iCs/>
          <w:noProof/>
          <w:color w:val="000000"/>
          <w:sz w:val="18"/>
          <w:szCs w:val="18"/>
        </w:rPr>
        <w:drawing>
          <wp:inline distT="0" distB="0" distL="0" distR="0" wp14:anchorId="0523E77C" wp14:editId="4D74456E">
            <wp:extent cx="3491230" cy="914400"/>
            <wp:effectExtent l="0" t="0" r="0" b="0"/>
            <wp:docPr id="4" name="Picture 4" descr="WREOnlineLogo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REOnlineLogo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91230" cy="914400"/>
                    </a:xfrm>
                    <a:prstGeom prst="rect">
                      <a:avLst/>
                    </a:prstGeom>
                    <a:noFill/>
                    <a:ln>
                      <a:noFill/>
                    </a:ln>
                  </pic:spPr>
                </pic:pic>
              </a:graphicData>
            </a:graphic>
          </wp:inline>
        </w:drawing>
      </w:r>
    </w:p>
    <w:p w:rsidR="00FF0BD6" w:rsidRPr="00FF0BD6" w:rsidRDefault="00FF0BD6" w:rsidP="00FF0BD6">
      <w:pPr>
        <w:spacing w:after="0"/>
        <w:rPr>
          <w:rFonts w:ascii="Verdana" w:hAnsi="Verdana"/>
          <w:b/>
          <w:sz w:val="18"/>
          <w:szCs w:val="18"/>
        </w:rPr>
      </w:pPr>
    </w:p>
    <w:p w:rsidR="00FF0BD6" w:rsidRPr="00FF0BD6" w:rsidRDefault="00FF0BD6" w:rsidP="00FF0BD6">
      <w:pPr>
        <w:pStyle w:val="NoSpacing"/>
        <w:rPr>
          <w:rFonts w:ascii="Verdana" w:hAnsi="Verdana" w:cs="Times New Roman"/>
          <w:sz w:val="18"/>
          <w:szCs w:val="18"/>
        </w:rPr>
      </w:pPr>
      <w:r w:rsidRPr="00FF0BD6">
        <w:rPr>
          <w:rFonts w:ascii="Verdana" w:hAnsi="Verdana" w:cs="Times New Roman"/>
          <w:b/>
          <w:sz w:val="18"/>
          <w:szCs w:val="18"/>
        </w:rPr>
        <w:br/>
      </w:r>
      <w:r w:rsidR="00012571">
        <w:rPr>
          <w:rFonts w:ascii="Verdana" w:hAnsi="Verdana" w:cs="Times New Roman"/>
          <w:b/>
          <w:sz w:val="18"/>
          <w:szCs w:val="18"/>
        </w:rPr>
        <w:t>Time Has Come Today</w:t>
      </w:r>
      <w:r w:rsidRPr="00FF0BD6">
        <w:rPr>
          <w:rFonts w:ascii="Verdana" w:hAnsi="Verdana" w:cs="Times New Roman"/>
          <w:b/>
          <w:sz w:val="18"/>
          <w:szCs w:val="18"/>
        </w:rPr>
        <w:br/>
      </w:r>
      <w:r w:rsidR="00FC4104">
        <w:rPr>
          <w:rFonts w:ascii="Verdana" w:hAnsi="Verdana" w:cs="Times New Roman"/>
          <w:sz w:val="18"/>
          <w:szCs w:val="18"/>
        </w:rPr>
        <w:t xml:space="preserve">By </w:t>
      </w:r>
      <w:r w:rsidR="00012571">
        <w:rPr>
          <w:rFonts w:ascii="Verdana" w:hAnsi="Verdana" w:cs="Times New Roman"/>
          <w:sz w:val="18"/>
          <w:szCs w:val="18"/>
        </w:rPr>
        <w:t>Richard Hagar, SRA</w:t>
      </w:r>
      <w:r w:rsidR="00012571">
        <w:rPr>
          <w:rFonts w:ascii="Verdana" w:hAnsi="Verdana" w:cs="Times New Roman"/>
          <w:sz w:val="18"/>
          <w:szCs w:val="18"/>
        </w:rPr>
        <w:br/>
      </w:r>
    </w:p>
    <w:p w:rsidR="00012571" w:rsidRDefault="00012571" w:rsidP="00012571">
      <w:pPr>
        <w:pStyle w:val="NoSpacing"/>
        <w:rPr>
          <w:rFonts w:ascii="Verdana" w:hAnsi="Verdana"/>
          <w:sz w:val="18"/>
          <w:szCs w:val="18"/>
        </w:rPr>
      </w:pPr>
      <w:r w:rsidRPr="00B10839">
        <w:rPr>
          <w:rFonts w:ascii="Verdana" w:hAnsi="Verdana"/>
          <w:sz w:val="18"/>
          <w:szCs w:val="18"/>
        </w:rPr>
        <w:t>The wheels of justice turn slowly but grind exceedingly fine. After years of working with regulators and helping write several real estate laws and regulations, my experience tells me that it cantake years for laws to be adopted and staff of regulatory agencies to be trained. It can take years before there is any enforcement or real change. Appraisers</w:t>
      </w:r>
      <w:r>
        <w:rPr>
          <w:rFonts w:ascii="Verdana" w:hAnsi="Verdana"/>
          <w:sz w:val="18"/>
          <w:szCs w:val="18"/>
        </w:rPr>
        <w:t xml:space="preserve"> </w:t>
      </w:r>
      <w:r w:rsidRPr="00B10839">
        <w:rPr>
          <w:rFonts w:ascii="Verdana" w:hAnsi="Verdana"/>
          <w:sz w:val="18"/>
          <w:szCs w:val="18"/>
        </w:rPr>
        <w:t>are upset with how slowly enforcement</w:t>
      </w:r>
      <w:r>
        <w:rPr>
          <w:rFonts w:ascii="Verdana" w:hAnsi="Verdana"/>
          <w:sz w:val="18"/>
          <w:szCs w:val="18"/>
        </w:rPr>
        <w:t xml:space="preserve"> </w:t>
      </w:r>
      <w:r w:rsidRPr="00B10839">
        <w:rPr>
          <w:rFonts w:ascii="Verdana" w:hAnsi="Verdana"/>
          <w:sz w:val="18"/>
          <w:szCs w:val="18"/>
        </w:rPr>
        <w:t>actions have been brought against various</w:t>
      </w:r>
      <w:r>
        <w:rPr>
          <w:rFonts w:ascii="Verdana" w:hAnsi="Verdana"/>
          <w:sz w:val="18"/>
          <w:szCs w:val="18"/>
        </w:rPr>
        <w:t xml:space="preserve"> </w:t>
      </w:r>
      <w:r w:rsidRPr="00B10839">
        <w:rPr>
          <w:rFonts w:ascii="Verdana" w:hAnsi="Verdana"/>
          <w:sz w:val="18"/>
          <w:szCs w:val="18"/>
        </w:rPr>
        <w:t>AMCs. Well, the time has come today.</w:t>
      </w:r>
      <w:r>
        <w:rPr>
          <w:rFonts w:ascii="Verdana" w:hAnsi="Verdana"/>
          <w:sz w:val="18"/>
          <w:szCs w:val="18"/>
        </w:rPr>
        <w:t xml:space="preserve"> </w:t>
      </w:r>
    </w:p>
    <w:p w:rsidR="00012571" w:rsidRDefault="00012571" w:rsidP="00012571">
      <w:pPr>
        <w:pStyle w:val="NoSpacing"/>
        <w:rPr>
          <w:rFonts w:ascii="Verdana" w:hAnsi="Verdana"/>
          <w:sz w:val="18"/>
          <w:szCs w:val="18"/>
        </w:rPr>
      </w:pPr>
    </w:p>
    <w:p w:rsidR="00012571" w:rsidRPr="00B10839" w:rsidRDefault="00012571" w:rsidP="00012571">
      <w:pPr>
        <w:pStyle w:val="NoSpacing"/>
        <w:rPr>
          <w:rFonts w:ascii="Verdana" w:hAnsi="Verdana"/>
          <w:sz w:val="18"/>
          <w:szCs w:val="18"/>
        </w:rPr>
      </w:pPr>
      <w:r w:rsidRPr="00B10839">
        <w:rPr>
          <w:rFonts w:ascii="Verdana" w:hAnsi="Verdana"/>
          <w:sz w:val="18"/>
          <w:szCs w:val="18"/>
        </w:rPr>
        <w:t>C</w:t>
      </w:r>
      <w:r>
        <w:rPr>
          <w:rFonts w:ascii="Verdana" w:hAnsi="Verdana"/>
          <w:sz w:val="18"/>
          <w:szCs w:val="18"/>
        </w:rPr>
        <w:t xml:space="preserve">ontrary to what some appraisers </w:t>
      </w:r>
      <w:r w:rsidRPr="00B10839">
        <w:rPr>
          <w:rFonts w:ascii="Verdana" w:hAnsi="Verdana"/>
          <w:sz w:val="18"/>
          <w:szCs w:val="18"/>
        </w:rPr>
        <w:t>believe, the laws we have in place</w:t>
      </w:r>
      <w:r>
        <w:rPr>
          <w:rFonts w:ascii="Verdana" w:hAnsi="Verdana"/>
          <w:sz w:val="18"/>
          <w:szCs w:val="18"/>
        </w:rPr>
        <w:t xml:space="preserve"> </w:t>
      </w:r>
      <w:r w:rsidRPr="00B10839">
        <w:rPr>
          <w:rFonts w:ascii="Verdana" w:hAnsi="Verdana"/>
          <w:sz w:val="18"/>
          <w:szCs w:val="18"/>
        </w:rPr>
        <w:t>today were developed to protect</w:t>
      </w:r>
      <w:r>
        <w:rPr>
          <w:rFonts w:ascii="Verdana" w:hAnsi="Verdana"/>
          <w:sz w:val="18"/>
          <w:szCs w:val="18"/>
        </w:rPr>
        <w:t xml:space="preserve"> </w:t>
      </w:r>
      <w:r w:rsidRPr="00B10839">
        <w:rPr>
          <w:rFonts w:ascii="Verdana" w:hAnsi="Verdana"/>
          <w:sz w:val="18"/>
          <w:szCs w:val="18"/>
        </w:rPr>
        <w:t>appraisers, lenders, and of course the</w:t>
      </w:r>
      <w:r>
        <w:rPr>
          <w:rFonts w:ascii="Verdana" w:hAnsi="Verdana"/>
          <w:sz w:val="18"/>
          <w:szCs w:val="18"/>
        </w:rPr>
        <w:t xml:space="preserve"> </w:t>
      </w:r>
      <w:r w:rsidRPr="00B10839">
        <w:rPr>
          <w:rFonts w:ascii="Verdana" w:hAnsi="Verdana"/>
          <w:sz w:val="18"/>
          <w:szCs w:val="18"/>
        </w:rPr>
        <w:t>public, w</w:t>
      </w:r>
      <w:r>
        <w:rPr>
          <w:rFonts w:ascii="Verdana" w:hAnsi="Verdana"/>
          <w:sz w:val="18"/>
          <w:szCs w:val="18"/>
        </w:rPr>
        <w:t xml:space="preserve">ho relies on quality appraisals </w:t>
      </w:r>
      <w:r w:rsidRPr="00B10839">
        <w:rPr>
          <w:rFonts w:ascii="Verdana" w:hAnsi="Verdana"/>
          <w:sz w:val="18"/>
          <w:szCs w:val="18"/>
        </w:rPr>
        <w:t>and an honest appraisal process.</w:t>
      </w:r>
      <w:r>
        <w:rPr>
          <w:rFonts w:ascii="Verdana" w:hAnsi="Verdana"/>
          <w:sz w:val="18"/>
          <w:szCs w:val="18"/>
        </w:rPr>
        <w:t xml:space="preserve"> </w:t>
      </w:r>
      <w:r w:rsidRPr="00B10839">
        <w:rPr>
          <w:rFonts w:ascii="Verdana" w:hAnsi="Verdana"/>
          <w:sz w:val="18"/>
          <w:szCs w:val="18"/>
        </w:rPr>
        <w:t>Better business practices, directed by</w:t>
      </w:r>
      <w:r>
        <w:rPr>
          <w:rFonts w:ascii="Verdana" w:hAnsi="Verdana"/>
          <w:sz w:val="18"/>
          <w:szCs w:val="18"/>
        </w:rPr>
        <w:t xml:space="preserve"> </w:t>
      </w:r>
      <w:r w:rsidRPr="00B10839">
        <w:rPr>
          <w:rFonts w:ascii="Verdana" w:hAnsi="Verdana"/>
          <w:sz w:val="18"/>
          <w:szCs w:val="18"/>
        </w:rPr>
        <w:t xml:space="preserve">laws, </w:t>
      </w:r>
      <w:r>
        <w:rPr>
          <w:rFonts w:ascii="Verdana" w:hAnsi="Verdana"/>
          <w:sz w:val="18"/>
          <w:szCs w:val="18"/>
        </w:rPr>
        <w:t xml:space="preserve">will allow appraisers, AMCs and </w:t>
      </w:r>
      <w:r w:rsidRPr="00B10839">
        <w:rPr>
          <w:rFonts w:ascii="Verdana" w:hAnsi="Verdana"/>
          <w:sz w:val="18"/>
          <w:szCs w:val="18"/>
        </w:rPr>
        <w:t>lenders to survive, profit, and provide</w:t>
      </w:r>
      <w:r>
        <w:rPr>
          <w:rFonts w:ascii="Verdana" w:hAnsi="Verdana"/>
          <w:sz w:val="18"/>
          <w:szCs w:val="18"/>
        </w:rPr>
        <w:t xml:space="preserve"> </w:t>
      </w:r>
      <w:r w:rsidRPr="00B10839">
        <w:rPr>
          <w:rFonts w:ascii="Verdana" w:hAnsi="Verdana"/>
          <w:sz w:val="18"/>
          <w:szCs w:val="18"/>
        </w:rPr>
        <w:t xml:space="preserve">something of value to the </w:t>
      </w:r>
      <w:r>
        <w:rPr>
          <w:rFonts w:ascii="Verdana" w:hAnsi="Verdana"/>
          <w:sz w:val="18"/>
          <w:szCs w:val="18"/>
        </w:rPr>
        <w:t xml:space="preserve">American </w:t>
      </w:r>
      <w:r w:rsidRPr="00B10839">
        <w:rPr>
          <w:rFonts w:ascii="Verdana" w:hAnsi="Verdana"/>
          <w:sz w:val="18"/>
          <w:szCs w:val="18"/>
        </w:rPr>
        <w:t xml:space="preserve">public: a </w:t>
      </w:r>
      <w:r>
        <w:rPr>
          <w:rFonts w:ascii="Verdana" w:hAnsi="Verdana"/>
          <w:sz w:val="18"/>
          <w:szCs w:val="18"/>
        </w:rPr>
        <w:t xml:space="preserve">high quality appraisal provided </w:t>
      </w:r>
      <w:r w:rsidRPr="00B10839">
        <w:rPr>
          <w:rFonts w:ascii="Verdana" w:hAnsi="Verdana"/>
          <w:sz w:val="18"/>
          <w:szCs w:val="18"/>
        </w:rPr>
        <w:t>by a competently trained</w:t>
      </w:r>
      <w:r>
        <w:rPr>
          <w:rFonts w:ascii="Verdana" w:hAnsi="Verdana"/>
          <w:sz w:val="18"/>
          <w:szCs w:val="18"/>
        </w:rPr>
        <w:t xml:space="preserve"> </w:t>
      </w:r>
      <w:r w:rsidRPr="00B10839">
        <w:rPr>
          <w:rFonts w:ascii="Verdana" w:hAnsi="Verdana"/>
          <w:sz w:val="18"/>
          <w:szCs w:val="18"/>
        </w:rPr>
        <w:t>appraiser who is appropriately paid</w:t>
      </w:r>
      <w:r>
        <w:rPr>
          <w:rFonts w:ascii="Verdana" w:hAnsi="Verdana"/>
          <w:sz w:val="18"/>
          <w:szCs w:val="18"/>
        </w:rPr>
        <w:t xml:space="preserve"> </w:t>
      </w:r>
      <w:r w:rsidRPr="00B10839">
        <w:rPr>
          <w:rFonts w:ascii="Verdana" w:hAnsi="Verdana"/>
          <w:sz w:val="18"/>
          <w:szCs w:val="18"/>
        </w:rPr>
        <w:t>for his or her service.</w:t>
      </w:r>
    </w:p>
    <w:p w:rsidR="00012571" w:rsidRDefault="00012571" w:rsidP="00012571">
      <w:pPr>
        <w:pStyle w:val="NoSpacing"/>
        <w:rPr>
          <w:rFonts w:ascii="Verdana" w:hAnsi="Verdana"/>
          <w:sz w:val="18"/>
          <w:szCs w:val="18"/>
        </w:rPr>
      </w:pPr>
    </w:p>
    <w:p w:rsidR="00012571" w:rsidRPr="00B10839" w:rsidRDefault="00012571" w:rsidP="00012571">
      <w:pPr>
        <w:pStyle w:val="NoSpacing"/>
        <w:rPr>
          <w:rFonts w:ascii="Verdana" w:hAnsi="Verdana"/>
          <w:sz w:val="18"/>
          <w:szCs w:val="18"/>
        </w:rPr>
      </w:pPr>
      <w:r w:rsidRPr="00B10839">
        <w:rPr>
          <w:rFonts w:ascii="Verdana" w:hAnsi="Verdana"/>
          <w:sz w:val="18"/>
          <w:szCs w:val="18"/>
        </w:rPr>
        <w:t>And yet, for</w:t>
      </w:r>
      <w:r>
        <w:rPr>
          <w:rFonts w:ascii="Verdana" w:hAnsi="Verdana"/>
          <w:sz w:val="18"/>
          <w:szCs w:val="18"/>
        </w:rPr>
        <w:t xml:space="preserve"> some people and organizations, if there’s a regulation they </w:t>
      </w:r>
      <w:r w:rsidRPr="00B10839">
        <w:rPr>
          <w:rFonts w:ascii="Verdana" w:hAnsi="Verdana"/>
          <w:sz w:val="18"/>
          <w:szCs w:val="18"/>
        </w:rPr>
        <w:t xml:space="preserve">don’t like, </w:t>
      </w:r>
      <w:r>
        <w:rPr>
          <w:rFonts w:ascii="Verdana" w:hAnsi="Verdana"/>
          <w:sz w:val="18"/>
          <w:szCs w:val="18"/>
        </w:rPr>
        <w:t xml:space="preserve">they ignore it. When confronted </w:t>
      </w:r>
      <w:r w:rsidRPr="00B10839">
        <w:rPr>
          <w:rFonts w:ascii="Verdana" w:hAnsi="Verdana"/>
          <w:sz w:val="18"/>
          <w:szCs w:val="18"/>
        </w:rPr>
        <w:t>with the regulation in black and</w:t>
      </w:r>
      <w:r>
        <w:rPr>
          <w:rFonts w:ascii="Verdana" w:hAnsi="Verdana"/>
          <w:sz w:val="18"/>
          <w:szCs w:val="18"/>
        </w:rPr>
        <w:t xml:space="preserve"> </w:t>
      </w:r>
      <w:r w:rsidRPr="00B10839">
        <w:rPr>
          <w:rFonts w:ascii="Verdana" w:hAnsi="Verdana"/>
          <w:sz w:val="18"/>
          <w:szCs w:val="18"/>
        </w:rPr>
        <w:t xml:space="preserve">white, </w:t>
      </w:r>
      <w:r>
        <w:rPr>
          <w:rFonts w:ascii="Verdana" w:hAnsi="Verdana"/>
          <w:sz w:val="18"/>
          <w:szCs w:val="18"/>
        </w:rPr>
        <w:t xml:space="preserve">they try to spin its meaning to </w:t>
      </w:r>
      <w:r w:rsidRPr="00B10839">
        <w:rPr>
          <w:rFonts w:ascii="Verdana" w:hAnsi="Verdana"/>
          <w:sz w:val="18"/>
          <w:szCs w:val="18"/>
        </w:rPr>
        <w:t>their advantage. Why? Often it’s because</w:t>
      </w:r>
      <w:r>
        <w:rPr>
          <w:rFonts w:ascii="Verdana" w:hAnsi="Verdana"/>
          <w:sz w:val="18"/>
          <w:szCs w:val="18"/>
        </w:rPr>
        <w:t xml:space="preserve"> </w:t>
      </w:r>
      <w:r w:rsidRPr="00B10839">
        <w:rPr>
          <w:rFonts w:ascii="Verdana" w:hAnsi="Verdana"/>
          <w:sz w:val="18"/>
          <w:szCs w:val="18"/>
        </w:rPr>
        <w:t>new re</w:t>
      </w:r>
      <w:r>
        <w:rPr>
          <w:rFonts w:ascii="Verdana" w:hAnsi="Verdana"/>
          <w:sz w:val="18"/>
          <w:szCs w:val="18"/>
        </w:rPr>
        <w:t xml:space="preserve">gulations can negatively impact </w:t>
      </w:r>
      <w:r w:rsidRPr="00B10839">
        <w:rPr>
          <w:rFonts w:ascii="Verdana" w:hAnsi="Verdana"/>
          <w:sz w:val="18"/>
          <w:szCs w:val="18"/>
        </w:rPr>
        <w:t>their business practices and income. I see</w:t>
      </w:r>
      <w:r>
        <w:rPr>
          <w:rFonts w:ascii="Verdana" w:hAnsi="Verdana"/>
          <w:sz w:val="18"/>
          <w:szCs w:val="18"/>
        </w:rPr>
        <w:t xml:space="preserve"> </w:t>
      </w:r>
      <w:r w:rsidRPr="00B10839">
        <w:rPr>
          <w:rFonts w:ascii="Verdana" w:hAnsi="Verdana"/>
          <w:sz w:val="18"/>
          <w:szCs w:val="18"/>
        </w:rPr>
        <w:t>this in cri</w:t>
      </w:r>
      <w:r>
        <w:rPr>
          <w:rFonts w:ascii="Verdana" w:hAnsi="Verdana"/>
          <w:sz w:val="18"/>
          <w:szCs w:val="18"/>
        </w:rPr>
        <w:t xml:space="preserve">minal and civil cases involving </w:t>
      </w:r>
      <w:r w:rsidRPr="00B10839">
        <w:rPr>
          <w:rFonts w:ascii="Verdana" w:hAnsi="Verdana"/>
          <w:sz w:val="18"/>
          <w:szCs w:val="18"/>
        </w:rPr>
        <w:t>banks, AMCs, and appraisers.</w:t>
      </w:r>
    </w:p>
    <w:p w:rsidR="00012571" w:rsidRDefault="00012571" w:rsidP="00012571">
      <w:pPr>
        <w:pStyle w:val="NoSpacing"/>
        <w:rPr>
          <w:rFonts w:ascii="Verdana" w:hAnsi="Verdana"/>
          <w:sz w:val="18"/>
          <w:szCs w:val="18"/>
        </w:rPr>
      </w:pPr>
    </w:p>
    <w:p w:rsidR="00012571" w:rsidRPr="00B10839" w:rsidRDefault="00012571" w:rsidP="00012571">
      <w:pPr>
        <w:pStyle w:val="NoSpacing"/>
        <w:rPr>
          <w:rFonts w:ascii="Verdana" w:hAnsi="Verdana"/>
          <w:sz w:val="18"/>
          <w:szCs w:val="18"/>
        </w:rPr>
      </w:pPr>
      <w:r w:rsidRPr="00B10839">
        <w:rPr>
          <w:rFonts w:ascii="Verdana" w:hAnsi="Verdana"/>
          <w:sz w:val="18"/>
          <w:szCs w:val="18"/>
        </w:rPr>
        <w:t>Lenders, banks, credit unions and</w:t>
      </w:r>
      <w:r>
        <w:rPr>
          <w:rFonts w:ascii="Verdana" w:hAnsi="Verdana"/>
          <w:sz w:val="18"/>
          <w:szCs w:val="18"/>
        </w:rPr>
        <w:t xml:space="preserve"> </w:t>
      </w:r>
      <w:r w:rsidRPr="00B10839">
        <w:rPr>
          <w:rFonts w:ascii="Verdana" w:hAnsi="Verdana"/>
          <w:sz w:val="18"/>
          <w:szCs w:val="18"/>
        </w:rPr>
        <w:t>AMCs must follow certain hiring practices</w:t>
      </w:r>
      <w:r>
        <w:rPr>
          <w:rFonts w:ascii="Verdana" w:hAnsi="Verdana"/>
          <w:sz w:val="18"/>
          <w:szCs w:val="18"/>
        </w:rPr>
        <w:t xml:space="preserve"> </w:t>
      </w:r>
      <w:r w:rsidRPr="00B10839">
        <w:rPr>
          <w:rFonts w:ascii="Verdana" w:hAnsi="Verdana"/>
          <w:sz w:val="18"/>
          <w:szCs w:val="18"/>
        </w:rPr>
        <w:t>or face sanctions and fines from state and</w:t>
      </w:r>
      <w:r>
        <w:rPr>
          <w:rFonts w:ascii="Verdana" w:hAnsi="Verdana"/>
          <w:sz w:val="18"/>
          <w:szCs w:val="18"/>
        </w:rPr>
        <w:t xml:space="preserve"> </w:t>
      </w:r>
      <w:r w:rsidRPr="00B10839">
        <w:rPr>
          <w:rFonts w:ascii="Verdana" w:hAnsi="Verdana"/>
          <w:sz w:val="18"/>
          <w:szCs w:val="18"/>
        </w:rPr>
        <w:t>federal regulators. Many of these entities</w:t>
      </w:r>
      <w:r>
        <w:rPr>
          <w:rFonts w:ascii="Verdana" w:hAnsi="Verdana"/>
          <w:sz w:val="18"/>
          <w:szCs w:val="18"/>
        </w:rPr>
        <w:t xml:space="preserve"> </w:t>
      </w:r>
      <w:r w:rsidRPr="00B10839">
        <w:rPr>
          <w:rFonts w:ascii="Verdana" w:hAnsi="Verdana"/>
          <w:sz w:val="18"/>
          <w:szCs w:val="18"/>
        </w:rPr>
        <w:t xml:space="preserve">keep trying </w:t>
      </w:r>
      <w:r>
        <w:rPr>
          <w:rFonts w:ascii="Verdana" w:hAnsi="Verdana"/>
          <w:sz w:val="18"/>
          <w:szCs w:val="18"/>
        </w:rPr>
        <w:t xml:space="preserve">to ignore regulations or try to </w:t>
      </w:r>
      <w:r w:rsidRPr="00B10839">
        <w:rPr>
          <w:rFonts w:ascii="Verdana" w:hAnsi="Verdana"/>
          <w:sz w:val="18"/>
          <w:szCs w:val="18"/>
        </w:rPr>
        <w:t>convince people that what the law states</w:t>
      </w:r>
      <w:r>
        <w:rPr>
          <w:rFonts w:ascii="Verdana" w:hAnsi="Verdana"/>
          <w:sz w:val="18"/>
          <w:szCs w:val="18"/>
        </w:rPr>
        <w:t xml:space="preserve"> </w:t>
      </w:r>
      <w:r w:rsidRPr="00B10839">
        <w:rPr>
          <w:rFonts w:ascii="Verdana" w:hAnsi="Verdana"/>
          <w:sz w:val="18"/>
          <w:szCs w:val="18"/>
        </w:rPr>
        <w:t>isn’t what it means. For instance, federal</w:t>
      </w:r>
      <w:r>
        <w:rPr>
          <w:rFonts w:ascii="Verdana" w:hAnsi="Verdana"/>
          <w:sz w:val="18"/>
          <w:szCs w:val="18"/>
        </w:rPr>
        <w:t xml:space="preserve"> </w:t>
      </w:r>
      <w:r w:rsidRPr="00B10839">
        <w:rPr>
          <w:rFonts w:ascii="Verdana" w:hAnsi="Verdana"/>
          <w:sz w:val="18"/>
          <w:szCs w:val="18"/>
        </w:rPr>
        <w:t>and state laws require lenders, and their</w:t>
      </w:r>
      <w:r>
        <w:rPr>
          <w:rFonts w:ascii="Verdana" w:hAnsi="Verdana"/>
          <w:sz w:val="18"/>
          <w:szCs w:val="18"/>
        </w:rPr>
        <w:t xml:space="preserve"> </w:t>
      </w:r>
      <w:r w:rsidRPr="00B10839">
        <w:rPr>
          <w:rFonts w:ascii="Verdana" w:hAnsi="Verdana"/>
          <w:sz w:val="18"/>
          <w:szCs w:val="18"/>
        </w:rPr>
        <w:t>AMC agent</w:t>
      </w:r>
      <w:r>
        <w:rPr>
          <w:rFonts w:ascii="Verdana" w:hAnsi="Verdana"/>
          <w:sz w:val="18"/>
          <w:szCs w:val="18"/>
        </w:rPr>
        <w:t xml:space="preserve">s, to create and follow written </w:t>
      </w:r>
      <w:r w:rsidRPr="00B10839">
        <w:rPr>
          <w:rFonts w:ascii="Verdana" w:hAnsi="Verdana"/>
          <w:sz w:val="18"/>
          <w:szCs w:val="18"/>
        </w:rPr>
        <w:t>policies explaining their methods for hiring</w:t>
      </w:r>
      <w:r>
        <w:rPr>
          <w:rFonts w:ascii="Verdana" w:hAnsi="Verdana"/>
          <w:sz w:val="18"/>
          <w:szCs w:val="18"/>
        </w:rPr>
        <w:t xml:space="preserve"> </w:t>
      </w:r>
      <w:r w:rsidRPr="00B10839">
        <w:rPr>
          <w:rFonts w:ascii="Verdana" w:hAnsi="Verdana"/>
          <w:sz w:val="18"/>
          <w:szCs w:val="18"/>
        </w:rPr>
        <w:t>and pa</w:t>
      </w:r>
      <w:r>
        <w:rPr>
          <w:rFonts w:ascii="Verdana" w:hAnsi="Verdana"/>
          <w:sz w:val="18"/>
          <w:szCs w:val="18"/>
        </w:rPr>
        <w:t xml:space="preserve">ying appraisers (that customary </w:t>
      </w:r>
      <w:r w:rsidRPr="00B10839">
        <w:rPr>
          <w:rFonts w:ascii="Verdana" w:hAnsi="Verdana"/>
          <w:sz w:val="18"/>
          <w:szCs w:val="18"/>
        </w:rPr>
        <w:t>and reasonable fee thing).</w:t>
      </w:r>
    </w:p>
    <w:p w:rsidR="00012571" w:rsidRDefault="00012571" w:rsidP="00012571">
      <w:pPr>
        <w:pStyle w:val="NoSpacing"/>
        <w:rPr>
          <w:rFonts w:ascii="Verdana" w:hAnsi="Verdana"/>
          <w:sz w:val="18"/>
          <w:szCs w:val="18"/>
        </w:rPr>
      </w:pPr>
    </w:p>
    <w:p w:rsidR="00012571" w:rsidRPr="00B10839" w:rsidRDefault="00012571" w:rsidP="00012571">
      <w:pPr>
        <w:pStyle w:val="NoSpacing"/>
        <w:rPr>
          <w:rFonts w:ascii="Verdana" w:hAnsi="Verdana"/>
          <w:sz w:val="18"/>
          <w:szCs w:val="18"/>
        </w:rPr>
      </w:pPr>
      <w:r w:rsidRPr="00B10839">
        <w:rPr>
          <w:rFonts w:ascii="Verdana" w:hAnsi="Verdana"/>
          <w:sz w:val="18"/>
          <w:szCs w:val="18"/>
        </w:rPr>
        <w:t>As an example, here’</w:t>
      </w:r>
      <w:r>
        <w:rPr>
          <w:rFonts w:ascii="Verdana" w:hAnsi="Verdana"/>
          <w:sz w:val="18"/>
          <w:szCs w:val="18"/>
        </w:rPr>
        <w:t xml:space="preserve">s text from federal </w:t>
      </w:r>
      <w:r w:rsidRPr="00B10839">
        <w:rPr>
          <w:rFonts w:ascii="Verdana" w:hAnsi="Verdana"/>
          <w:sz w:val="18"/>
          <w:szCs w:val="18"/>
        </w:rPr>
        <w:t>regulations:</w:t>
      </w:r>
    </w:p>
    <w:p w:rsidR="00012571" w:rsidRPr="00B10839" w:rsidRDefault="00012571" w:rsidP="00012571">
      <w:pPr>
        <w:pStyle w:val="NoSpacing"/>
        <w:rPr>
          <w:rFonts w:ascii="Verdana" w:hAnsi="Verdana"/>
          <w:sz w:val="18"/>
          <w:szCs w:val="18"/>
        </w:rPr>
      </w:pPr>
      <w:r w:rsidRPr="00B10839">
        <w:rPr>
          <w:rFonts w:ascii="Verdana" w:hAnsi="Verdana"/>
          <w:sz w:val="18"/>
          <w:szCs w:val="18"/>
        </w:rPr>
        <w:t>“An institution should not allow lower cost or the</w:t>
      </w:r>
      <w:r>
        <w:rPr>
          <w:rFonts w:ascii="Verdana" w:hAnsi="Verdana"/>
          <w:sz w:val="18"/>
          <w:szCs w:val="18"/>
        </w:rPr>
        <w:t xml:space="preserve"> </w:t>
      </w:r>
      <w:r w:rsidRPr="00B10839">
        <w:rPr>
          <w:rFonts w:ascii="Verdana" w:hAnsi="Verdana"/>
          <w:sz w:val="18"/>
          <w:szCs w:val="18"/>
        </w:rPr>
        <w:t>speed of delivery time to inappropriately influence</w:t>
      </w:r>
    </w:p>
    <w:p w:rsidR="00012571" w:rsidRDefault="00012571" w:rsidP="00012571">
      <w:pPr>
        <w:pStyle w:val="NoSpacing"/>
        <w:rPr>
          <w:rFonts w:ascii="Verdana" w:hAnsi="Verdana"/>
          <w:sz w:val="18"/>
          <w:szCs w:val="18"/>
        </w:rPr>
      </w:pPr>
      <w:r w:rsidRPr="00B10839">
        <w:rPr>
          <w:rFonts w:ascii="Verdana" w:hAnsi="Verdana"/>
          <w:sz w:val="18"/>
          <w:szCs w:val="18"/>
        </w:rPr>
        <w:t>its appraisal ordering procedures.”</w:t>
      </w:r>
      <w:r>
        <w:rPr>
          <w:rFonts w:ascii="Verdana" w:hAnsi="Verdana"/>
          <w:sz w:val="18"/>
          <w:szCs w:val="18"/>
        </w:rPr>
        <w:t xml:space="preserve"> </w:t>
      </w:r>
    </w:p>
    <w:p w:rsidR="00012571" w:rsidRPr="00B10839" w:rsidRDefault="00012571" w:rsidP="00012571">
      <w:pPr>
        <w:pStyle w:val="NoSpacing"/>
        <w:rPr>
          <w:rFonts w:ascii="Verdana" w:hAnsi="Verdana"/>
          <w:sz w:val="18"/>
          <w:szCs w:val="18"/>
        </w:rPr>
      </w:pPr>
      <w:r>
        <w:rPr>
          <w:rFonts w:ascii="Verdana" w:hAnsi="Verdana"/>
          <w:sz w:val="18"/>
          <w:szCs w:val="18"/>
        </w:rPr>
        <w:br/>
      </w:r>
      <w:r w:rsidRPr="00B10839">
        <w:rPr>
          <w:rFonts w:ascii="Verdana" w:hAnsi="Verdana"/>
          <w:sz w:val="18"/>
          <w:szCs w:val="18"/>
        </w:rPr>
        <w:t>The re</w:t>
      </w:r>
      <w:r>
        <w:rPr>
          <w:rFonts w:ascii="Verdana" w:hAnsi="Verdana"/>
          <w:sz w:val="18"/>
          <w:szCs w:val="18"/>
        </w:rPr>
        <w:t xml:space="preserve">gulation is simple, direct, and </w:t>
      </w:r>
      <w:r w:rsidRPr="00B10839">
        <w:rPr>
          <w:rFonts w:ascii="Verdana" w:hAnsi="Verdana"/>
          <w:sz w:val="18"/>
          <w:szCs w:val="18"/>
        </w:rPr>
        <w:t>easy to</w:t>
      </w:r>
      <w:r>
        <w:rPr>
          <w:rFonts w:ascii="Verdana" w:hAnsi="Verdana"/>
          <w:sz w:val="18"/>
          <w:szCs w:val="18"/>
        </w:rPr>
        <w:t xml:space="preserve"> follow. However, it seems that </w:t>
      </w:r>
      <w:r w:rsidRPr="00B10839">
        <w:rPr>
          <w:rFonts w:ascii="Verdana" w:hAnsi="Verdana"/>
          <w:sz w:val="18"/>
          <w:szCs w:val="18"/>
        </w:rPr>
        <w:t>a few major AMCs just don’t like that</w:t>
      </w:r>
      <w:r>
        <w:rPr>
          <w:rFonts w:ascii="Verdana" w:hAnsi="Verdana"/>
          <w:sz w:val="18"/>
          <w:szCs w:val="18"/>
        </w:rPr>
        <w:t xml:space="preserve"> </w:t>
      </w:r>
      <w:r w:rsidRPr="00B10839">
        <w:rPr>
          <w:rFonts w:ascii="Verdana" w:hAnsi="Verdana"/>
          <w:sz w:val="18"/>
          <w:szCs w:val="18"/>
        </w:rPr>
        <w:t>pesky regulation. AMCs continue to use</w:t>
      </w:r>
      <w:r>
        <w:rPr>
          <w:rFonts w:ascii="Verdana" w:hAnsi="Verdana"/>
          <w:sz w:val="18"/>
          <w:szCs w:val="18"/>
        </w:rPr>
        <w:t xml:space="preserve"> </w:t>
      </w:r>
      <w:r w:rsidRPr="00B10839">
        <w:rPr>
          <w:rFonts w:ascii="Verdana" w:hAnsi="Verdana"/>
          <w:sz w:val="18"/>
          <w:szCs w:val="18"/>
        </w:rPr>
        <w:t xml:space="preserve">“low-bid” </w:t>
      </w:r>
      <w:r>
        <w:rPr>
          <w:rFonts w:ascii="Verdana" w:hAnsi="Verdana"/>
          <w:sz w:val="18"/>
          <w:szCs w:val="18"/>
        </w:rPr>
        <w:t xml:space="preserve">email blast order systems. They </w:t>
      </w:r>
      <w:r w:rsidRPr="00B10839">
        <w:rPr>
          <w:rFonts w:ascii="Verdana" w:hAnsi="Verdana"/>
          <w:sz w:val="18"/>
          <w:szCs w:val="18"/>
        </w:rPr>
        <w:t>hire appraisers based upon the lowest</w:t>
      </w:r>
      <w:r>
        <w:rPr>
          <w:rFonts w:ascii="Verdana" w:hAnsi="Verdana"/>
          <w:sz w:val="18"/>
          <w:szCs w:val="18"/>
        </w:rPr>
        <w:t xml:space="preserve"> </w:t>
      </w:r>
      <w:r w:rsidRPr="00B10839">
        <w:rPr>
          <w:rFonts w:ascii="Verdana" w:hAnsi="Verdana"/>
          <w:sz w:val="18"/>
          <w:szCs w:val="18"/>
        </w:rPr>
        <w:t>cost and fastest turn time. Emails, hiring</w:t>
      </w:r>
      <w:r>
        <w:rPr>
          <w:rFonts w:ascii="Verdana" w:hAnsi="Verdana"/>
          <w:sz w:val="18"/>
          <w:szCs w:val="18"/>
        </w:rPr>
        <w:t xml:space="preserve"> </w:t>
      </w:r>
      <w:r w:rsidRPr="00B10839">
        <w:rPr>
          <w:rFonts w:ascii="Verdana" w:hAnsi="Verdana"/>
          <w:sz w:val="18"/>
          <w:szCs w:val="18"/>
        </w:rPr>
        <w:t>pol</w:t>
      </w:r>
      <w:r>
        <w:rPr>
          <w:rFonts w:ascii="Verdana" w:hAnsi="Verdana"/>
          <w:sz w:val="18"/>
          <w:szCs w:val="18"/>
        </w:rPr>
        <w:t xml:space="preserve">icies, and comments made during </w:t>
      </w:r>
      <w:r w:rsidRPr="00B10839">
        <w:rPr>
          <w:rFonts w:ascii="Verdana" w:hAnsi="Verdana"/>
          <w:sz w:val="18"/>
          <w:szCs w:val="18"/>
        </w:rPr>
        <w:t>appraiser conferences appear</w:t>
      </w:r>
      <w:r>
        <w:rPr>
          <w:rFonts w:ascii="Verdana" w:hAnsi="Verdana"/>
          <w:sz w:val="18"/>
          <w:szCs w:val="18"/>
        </w:rPr>
        <w:t xml:space="preserve"> to indicate </w:t>
      </w:r>
      <w:r w:rsidRPr="00B10839">
        <w:rPr>
          <w:rFonts w:ascii="Verdana" w:hAnsi="Verdana"/>
          <w:sz w:val="18"/>
          <w:szCs w:val="18"/>
        </w:rPr>
        <w:t>that many lenders and AMCs continue to</w:t>
      </w:r>
      <w:r>
        <w:rPr>
          <w:rFonts w:ascii="Verdana" w:hAnsi="Verdana"/>
          <w:sz w:val="18"/>
          <w:szCs w:val="18"/>
        </w:rPr>
        <w:t xml:space="preserve"> </w:t>
      </w:r>
      <w:r w:rsidRPr="00B10839">
        <w:rPr>
          <w:rFonts w:ascii="Verdana" w:hAnsi="Verdana"/>
          <w:sz w:val="18"/>
          <w:szCs w:val="18"/>
        </w:rPr>
        <w:t>purposef</w:t>
      </w:r>
      <w:r>
        <w:rPr>
          <w:rFonts w:ascii="Verdana" w:hAnsi="Verdana"/>
          <w:sz w:val="18"/>
          <w:szCs w:val="18"/>
        </w:rPr>
        <w:t xml:space="preserve">ully ignore the regulations and </w:t>
      </w:r>
      <w:r w:rsidRPr="00B10839">
        <w:rPr>
          <w:rFonts w:ascii="Verdana" w:hAnsi="Verdana"/>
          <w:sz w:val="18"/>
          <w:szCs w:val="18"/>
        </w:rPr>
        <w:t>refuse to</w:t>
      </w:r>
      <w:r>
        <w:rPr>
          <w:rFonts w:ascii="Verdana" w:hAnsi="Verdana"/>
          <w:sz w:val="18"/>
          <w:szCs w:val="18"/>
        </w:rPr>
        <w:t xml:space="preserve"> pay appraisers a Customary and </w:t>
      </w:r>
      <w:r w:rsidRPr="00B10839">
        <w:rPr>
          <w:rFonts w:ascii="Verdana" w:hAnsi="Verdana"/>
          <w:sz w:val="18"/>
          <w:szCs w:val="18"/>
        </w:rPr>
        <w:t>Reasonable (C&amp;R) fee.</w:t>
      </w:r>
    </w:p>
    <w:p w:rsidR="00012571" w:rsidRDefault="00012571" w:rsidP="00012571">
      <w:pPr>
        <w:pStyle w:val="NoSpacing"/>
        <w:rPr>
          <w:rFonts w:ascii="Verdana" w:hAnsi="Verdana"/>
          <w:sz w:val="18"/>
          <w:szCs w:val="18"/>
        </w:rPr>
      </w:pPr>
    </w:p>
    <w:p w:rsidR="00012571" w:rsidRPr="00B10839" w:rsidRDefault="00012571" w:rsidP="00012571">
      <w:pPr>
        <w:pStyle w:val="NoSpacing"/>
        <w:rPr>
          <w:rFonts w:ascii="Verdana" w:hAnsi="Verdana"/>
          <w:sz w:val="18"/>
          <w:szCs w:val="18"/>
        </w:rPr>
      </w:pPr>
      <w:r w:rsidRPr="00B10839">
        <w:rPr>
          <w:rFonts w:ascii="Verdana" w:hAnsi="Verdana"/>
          <w:sz w:val="18"/>
          <w:szCs w:val="18"/>
        </w:rPr>
        <w:t>Here’s another example:</w:t>
      </w:r>
    </w:p>
    <w:p w:rsidR="00012571" w:rsidRPr="00B10839" w:rsidRDefault="00012571" w:rsidP="00012571">
      <w:pPr>
        <w:pStyle w:val="NoSpacing"/>
        <w:rPr>
          <w:rFonts w:ascii="Verdana" w:hAnsi="Verdana"/>
          <w:sz w:val="18"/>
          <w:szCs w:val="18"/>
        </w:rPr>
      </w:pPr>
      <w:r w:rsidRPr="00B10839">
        <w:rPr>
          <w:rFonts w:ascii="Verdana" w:hAnsi="Verdana"/>
          <w:sz w:val="18"/>
          <w:szCs w:val="18"/>
        </w:rPr>
        <w:t>“An institution sho</w:t>
      </w:r>
      <w:r>
        <w:rPr>
          <w:rFonts w:ascii="Verdana" w:hAnsi="Verdana"/>
          <w:sz w:val="18"/>
          <w:szCs w:val="18"/>
        </w:rPr>
        <w:t xml:space="preserve">uld not allow lower cost or the </w:t>
      </w:r>
      <w:r w:rsidRPr="00B10839">
        <w:rPr>
          <w:rFonts w:ascii="Verdana" w:hAnsi="Verdana"/>
          <w:sz w:val="18"/>
          <w:szCs w:val="18"/>
        </w:rPr>
        <w:t>speed of delivery time to inappropriately influence</w:t>
      </w:r>
    </w:p>
    <w:p w:rsidR="00012571" w:rsidRPr="00B10839" w:rsidRDefault="00012571" w:rsidP="00012571">
      <w:pPr>
        <w:pStyle w:val="NoSpacing"/>
        <w:rPr>
          <w:rFonts w:ascii="Verdana" w:hAnsi="Verdana"/>
          <w:sz w:val="18"/>
          <w:szCs w:val="18"/>
        </w:rPr>
      </w:pPr>
      <w:r w:rsidRPr="00B10839">
        <w:rPr>
          <w:rFonts w:ascii="Verdana" w:hAnsi="Verdana"/>
          <w:sz w:val="18"/>
          <w:szCs w:val="18"/>
        </w:rPr>
        <w:t>[...] the appraiser’s determination of the Scope of</w:t>
      </w:r>
      <w:r>
        <w:rPr>
          <w:rFonts w:ascii="Verdana" w:hAnsi="Verdana"/>
          <w:sz w:val="18"/>
          <w:szCs w:val="18"/>
        </w:rPr>
        <w:t xml:space="preserve"> </w:t>
      </w:r>
      <w:r w:rsidRPr="00B10839">
        <w:rPr>
          <w:rFonts w:ascii="Verdana" w:hAnsi="Verdana"/>
          <w:sz w:val="18"/>
          <w:szCs w:val="18"/>
        </w:rPr>
        <w:t>Work for an appraisal supporting a federally</w:t>
      </w:r>
    </w:p>
    <w:p w:rsidR="00012571" w:rsidRPr="00B10839" w:rsidRDefault="00012571" w:rsidP="00012571">
      <w:pPr>
        <w:pStyle w:val="NoSpacing"/>
        <w:rPr>
          <w:rFonts w:ascii="Verdana" w:hAnsi="Verdana"/>
          <w:sz w:val="18"/>
          <w:szCs w:val="18"/>
        </w:rPr>
      </w:pPr>
      <w:r w:rsidRPr="00B10839">
        <w:rPr>
          <w:rFonts w:ascii="Verdana" w:hAnsi="Verdana"/>
          <w:sz w:val="18"/>
          <w:szCs w:val="18"/>
        </w:rPr>
        <w:t>related transaction.”</w:t>
      </w:r>
    </w:p>
    <w:p w:rsidR="00012571" w:rsidRDefault="00012571" w:rsidP="00012571">
      <w:pPr>
        <w:pStyle w:val="NoSpacing"/>
        <w:rPr>
          <w:rFonts w:ascii="Verdana" w:hAnsi="Verdana"/>
          <w:sz w:val="18"/>
          <w:szCs w:val="18"/>
        </w:rPr>
      </w:pPr>
    </w:p>
    <w:p w:rsidR="00012571" w:rsidRPr="00B10839" w:rsidRDefault="00012571" w:rsidP="00012571">
      <w:pPr>
        <w:pStyle w:val="NoSpacing"/>
        <w:rPr>
          <w:rFonts w:ascii="Verdana" w:hAnsi="Verdana"/>
          <w:sz w:val="18"/>
          <w:szCs w:val="18"/>
        </w:rPr>
      </w:pPr>
      <w:r w:rsidRPr="00B10839">
        <w:rPr>
          <w:rFonts w:ascii="Verdana" w:hAnsi="Verdana"/>
          <w:sz w:val="18"/>
          <w:szCs w:val="18"/>
        </w:rPr>
        <w:t>Clearly, it is</w:t>
      </w:r>
      <w:r>
        <w:rPr>
          <w:rFonts w:ascii="Verdana" w:hAnsi="Verdana"/>
          <w:sz w:val="18"/>
          <w:szCs w:val="18"/>
        </w:rPr>
        <w:t xml:space="preserve"> the appraiser’s responsibility to “determine the Scope of </w:t>
      </w:r>
      <w:r w:rsidRPr="00B10839">
        <w:rPr>
          <w:rFonts w:ascii="Verdana" w:hAnsi="Verdana"/>
          <w:sz w:val="18"/>
          <w:szCs w:val="18"/>
        </w:rPr>
        <w:t>Work” in an appraisal assignment. Many</w:t>
      </w:r>
      <w:r>
        <w:rPr>
          <w:rFonts w:ascii="Verdana" w:hAnsi="Verdana"/>
          <w:sz w:val="18"/>
          <w:szCs w:val="18"/>
        </w:rPr>
        <w:t xml:space="preserve"> </w:t>
      </w:r>
      <w:r w:rsidRPr="00B10839">
        <w:rPr>
          <w:rFonts w:ascii="Verdana" w:hAnsi="Verdana"/>
          <w:sz w:val="18"/>
          <w:szCs w:val="18"/>
        </w:rPr>
        <w:t xml:space="preserve">of us </w:t>
      </w:r>
      <w:r>
        <w:rPr>
          <w:rFonts w:ascii="Verdana" w:hAnsi="Verdana"/>
          <w:sz w:val="18"/>
          <w:szCs w:val="18"/>
        </w:rPr>
        <w:t xml:space="preserve">have had AMCs tell us “We don’t </w:t>
      </w:r>
      <w:r w:rsidRPr="00B10839">
        <w:rPr>
          <w:rFonts w:ascii="Verdana" w:hAnsi="Verdana"/>
          <w:sz w:val="18"/>
          <w:szCs w:val="18"/>
        </w:rPr>
        <w:t>need the cost approach,” or “Don’t use</w:t>
      </w:r>
      <w:r>
        <w:rPr>
          <w:rFonts w:ascii="Verdana" w:hAnsi="Verdana"/>
          <w:sz w:val="18"/>
          <w:szCs w:val="18"/>
        </w:rPr>
        <w:t xml:space="preserve"> </w:t>
      </w:r>
      <w:r w:rsidRPr="00B10839">
        <w:rPr>
          <w:rFonts w:ascii="Verdana" w:hAnsi="Verdana"/>
          <w:sz w:val="18"/>
          <w:szCs w:val="18"/>
        </w:rPr>
        <w:t>comparable X but use our comparable</w:t>
      </w:r>
      <w:r>
        <w:rPr>
          <w:rFonts w:ascii="Verdana" w:hAnsi="Verdana"/>
          <w:sz w:val="18"/>
          <w:szCs w:val="18"/>
        </w:rPr>
        <w:t xml:space="preserve"> </w:t>
      </w:r>
      <w:r w:rsidRPr="00B10839">
        <w:rPr>
          <w:rFonts w:ascii="Verdana" w:hAnsi="Verdana"/>
          <w:sz w:val="18"/>
          <w:szCs w:val="18"/>
        </w:rPr>
        <w:t>Y,” or “You can’t make a line adjustment</w:t>
      </w:r>
      <w:r>
        <w:rPr>
          <w:rFonts w:ascii="Verdana" w:hAnsi="Verdana"/>
          <w:sz w:val="18"/>
          <w:szCs w:val="18"/>
        </w:rPr>
        <w:t xml:space="preserve"> </w:t>
      </w:r>
      <w:r w:rsidRPr="00B10839">
        <w:rPr>
          <w:rFonts w:ascii="Verdana" w:hAnsi="Verdana"/>
          <w:sz w:val="18"/>
          <w:szCs w:val="18"/>
        </w:rPr>
        <w:t>greater</w:t>
      </w:r>
      <w:r>
        <w:rPr>
          <w:rFonts w:ascii="Verdana" w:hAnsi="Verdana"/>
          <w:sz w:val="18"/>
          <w:szCs w:val="18"/>
        </w:rPr>
        <w:t xml:space="preserve"> than 10 percent.” All of these </w:t>
      </w:r>
      <w:r w:rsidRPr="00B10839">
        <w:rPr>
          <w:rFonts w:ascii="Verdana" w:hAnsi="Verdana"/>
          <w:sz w:val="18"/>
          <w:szCs w:val="18"/>
        </w:rPr>
        <w:t>statements are inappropriate attempts</w:t>
      </w:r>
      <w:r>
        <w:rPr>
          <w:rFonts w:ascii="Verdana" w:hAnsi="Verdana"/>
          <w:sz w:val="18"/>
          <w:szCs w:val="18"/>
        </w:rPr>
        <w:t xml:space="preserve"> </w:t>
      </w:r>
      <w:r w:rsidRPr="00B10839">
        <w:rPr>
          <w:rFonts w:ascii="Verdana" w:hAnsi="Verdana"/>
          <w:sz w:val="18"/>
          <w:szCs w:val="18"/>
        </w:rPr>
        <w:t>at infl</w:t>
      </w:r>
      <w:r>
        <w:rPr>
          <w:rFonts w:ascii="Verdana" w:hAnsi="Verdana"/>
          <w:sz w:val="18"/>
          <w:szCs w:val="18"/>
        </w:rPr>
        <w:t xml:space="preserve">uencing an appraiser’s Scope of </w:t>
      </w:r>
      <w:r w:rsidRPr="00B10839">
        <w:rPr>
          <w:rFonts w:ascii="Verdana" w:hAnsi="Verdana"/>
          <w:sz w:val="18"/>
          <w:szCs w:val="18"/>
        </w:rPr>
        <w:t>W</w:t>
      </w:r>
      <w:r>
        <w:rPr>
          <w:rFonts w:ascii="Verdana" w:hAnsi="Verdana"/>
          <w:sz w:val="18"/>
          <w:szCs w:val="18"/>
        </w:rPr>
        <w:t xml:space="preserve">ork. However, regulations state </w:t>
      </w:r>
      <w:r w:rsidRPr="00B10839">
        <w:rPr>
          <w:rFonts w:ascii="Verdana" w:hAnsi="Verdana"/>
          <w:sz w:val="18"/>
          <w:szCs w:val="18"/>
        </w:rPr>
        <w:t>that</w:t>
      </w:r>
      <w:r>
        <w:rPr>
          <w:rFonts w:ascii="Verdana" w:hAnsi="Verdana"/>
          <w:sz w:val="18"/>
          <w:szCs w:val="18"/>
        </w:rPr>
        <w:t xml:space="preserve"> </w:t>
      </w:r>
      <w:r w:rsidRPr="00B10839">
        <w:rPr>
          <w:rFonts w:ascii="Verdana" w:hAnsi="Verdana"/>
          <w:sz w:val="18"/>
          <w:szCs w:val="18"/>
        </w:rPr>
        <w:t>it is the appraiser who determines the</w:t>
      </w:r>
      <w:r>
        <w:rPr>
          <w:rFonts w:ascii="Verdana" w:hAnsi="Verdana"/>
          <w:sz w:val="18"/>
          <w:szCs w:val="18"/>
        </w:rPr>
        <w:t xml:space="preserve"> </w:t>
      </w:r>
      <w:r w:rsidRPr="00B10839">
        <w:rPr>
          <w:rFonts w:ascii="Verdana" w:hAnsi="Verdana"/>
          <w:sz w:val="18"/>
          <w:szCs w:val="18"/>
        </w:rPr>
        <w:t>Scope</w:t>
      </w:r>
      <w:r>
        <w:rPr>
          <w:rFonts w:ascii="Verdana" w:hAnsi="Verdana"/>
          <w:sz w:val="18"/>
          <w:szCs w:val="18"/>
        </w:rPr>
        <w:t xml:space="preserve"> of Work. Again, this is simple </w:t>
      </w:r>
      <w:r w:rsidRPr="00B10839">
        <w:rPr>
          <w:rFonts w:ascii="Verdana" w:hAnsi="Verdana"/>
          <w:sz w:val="18"/>
          <w:szCs w:val="18"/>
        </w:rPr>
        <w:t>and to the point, yet is often ignored</w:t>
      </w:r>
      <w:r>
        <w:rPr>
          <w:rFonts w:ascii="Verdana" w:hAnsi="Verdana"/>
          <w:sz w:val="18"/>
          <w:szCs w:val="18"/>
        </w:rPr>
        <w:t xml:space="preserve"> </w:t>
      </w:r>
      <w:r w:rsidRPr="00B10839">
        <w:rPr>
          <w:rFonts w:ascii="Verdana" w:hAnsi="Verdana"/>
          <w:sz w:val="18"/>
          <w:szCs w:val="18"/>
        </w:rPr>
        <w:t>by the AMC or lender.</w:t>
      </w:r>
    </w:p>
    <w:p w:rsidR="00012571" w:rsidRDefault="00012571" w:rsidP="00012571">
      <w:pPr>
        <w:pStyle w:val="NoSpacing"/>
        <w:rPr>
          <w:rFonts w:ascii="Verdana" w:hAnsi="Verdana"/>
          <w:sz w:val="18"/>
          <w:szCs w:val="18"/>
        </w:rPr>
      </w:pPr>
    </w:p>
    <w:p w:rsidR="00012571" w:rsidRPr="00B10839" w:rsidRDefault="00012571" w:rsidP="00012571">
      <w:pPr>
        <w:pStyle w:val="NoSpacing"/>
        <w:rPr>
          <w:rFonts w:ascii="Verdana" w:hAnsi="Verdana"/>
          <w:sz w:val="18"/>
          <w:szCs w:val="18"/>
        </w:rPr>
      </w:pPr>
      <w:r w:rsidRPr="00B10839">
        <w:rPr>
          <w:rFonts w:ascii="Verdana" w:hAnsi="Verdana"/>
          <w:sz w:val="18"/>
          <w:szCs w:val="18"/>
        </w:rPr>
        <w:t>My final regulatory example:</w:t>
      </w:r>
    </w:p>
    <w:p w:rsidR="00012571" w:rsidRPr="00B10839" w:rsidRDefault="00012571" w:rsidP="00012571">
      <w:pPr>
        <w:pStyle w:val="NoSpacing"/>
        <w:rPr>
          <w:rFonts w:ascii="Verdana" w:hAnsi="Verdana"/>
          <w:sz w:val="18"/>
          <w:szCs w:val="18"/>
        </w:rPr>
      </w:pPr>
      <w:r w:rsidRPr="00B10839">
        <w:rPr>
          <w:rFonts w:ascii="Verdana" w:hAnsi="Verdana"/>
          <w:sz w:val="18"/>
          <w:szCs w:val="18"/>
        </w:rPr>
        <w:lastRenderedPageBreak/>
        <w:t>“These policies an</w:t>
      </w:r>
      <w:r>
        <w:rPr>
          <w:rFonts w:ascii="Verdana" w:hAnsi="Verdana"/>
          <w:sz w:val="18"/>
          <w:szCs w:val="18"/>
        </w:rPr>
        <w:t xml:space="preserve">d procedures should address the </w:t>
      </w:r>
      <w:r w:rsidRPr="00B10839">
        <w:rPr>
          <w:rFonts w:ascii="Verdana" w:hAnsi="Verdana"/>
          <w:sz w:val="18"/>
          <w:szCs w:val="18"/>
        </w:rPr>
        <w:t>process for selecting the appropriate valuation</w:t>
      </w:r>
    </w:p>
    <w:p w:rsidR="00012571" w:rsidRDefault="00012571" w:rsidP="00012571">
      <w:pPr>
        <w:pStyle w:val="NoSpacing"/>
        <w:rPr>
          <w:rFonts w:ascii="Verdana" w:hAnsi="Verdana"/>
          <w:sz w:val="18"/>
          <w:szCs w:val="18"/>
        </w:rPr>
      </w:pPr>
      <w:r w:rsidRPr="00B10839">
        <w:rPr>
          <w:rFonts w:ascii="Verdana" w:hAnsi="Verdana"/>
          <w:sz w:val="18"/>
          <w:szCs w:val="18"/>
        </w:rPr>
        <w:t>method for a transaction rather than using the</w:t>
      </w:r>
      <w:r>
        <w:rPr>
          <w:rFonts w:ascii="Verdana" w:hAnsi="Verdana"/>
          <w:sz w:val="18"/>
          <w:szCs w:val="18"/>
        </w:rPr>
        <w:t xml:space="preserve"> </w:t>
      </w:r>
      <w:r w:rsidRPr="00B10839">
        <w:rPr>
          <w:rFonts w:ascii="Verdana" w:hAnsi="Verdana"/>
          <w:sz w:val="18"/>
          <w:szCs w:val="18"/>
        </w:rPr>
        <w:t xml:space="preserve">method that renders </w:t>
      </w:r>
      <w:r>
        <w:rPr>
          <w:rFonts w:ascii="Verdana" w:hAnsi="Verdana"/>
          <w:sz w:val="18"/>
          <w:szCs w:val="18"/>
        </w:rPr>
        <w:t xml:space="preserve">the highest value, lowest cost, </w:t>
      </w:r>
      <w:r w:rsidRPr="00B10839">
        <w:rPr>
          <w:rFonts w:ascii="Verdana" w:hAnsi="Verdana"/>
          <w:sz w:val="18"/>
          <w:szCs w:val="18"/>
        </w:rPr>
        <w:t>or fastest turnaround time.”</w:t>
      </w:r>
    </w:p>
    <w:p w:rsidR="00012571" w:rsidRPr="00B10839" w:rsidRDefault="00012571" w:rsidP="00012571">
      <w:pPr>
        <w:pStyle w:val="NoSpacing"/>
        <w:rPr>
          <w:rFonts w:ascii="Verdana" w:hAnsi="Verdana"/>
          <w:sz w:val="18"/>
          <w:szCs w:val="18"/>
        </w:rPr>
      </w:pPr>
    </w:p>
    <w:p w:rsidR="00012571" w:rsidRDefault="00012571" w:rsidP="00012571">
      <w:pPr>
        <w:pStyle w:val="NoSpacing"/>
        <w:rPr>
          <w:rFonts w:ascii="Verdana" w:hAnsi="Verdana"/>
          <w:sz w:val="18"/>
          <w:szCs w:val="18"/>
        </w:rPr>
      </w:pPr>
      <w:r w:rsidRPr="00B10839">
        <w:rPr>
          <w:rFonts w:ascii="Verdana" w:hAnsi="Verdana"/>
          <w:sz w:val="18"/>
          <w:szCs w:val="18"/>
        </w:rPr>
        <w:t>L</w:t>
      </w:r>
      <w:r>
        <w:rPr>
          <w:rFonts w:ascii="Verdana" w:hAnsi="Verdana"/>
          <w:sz w:val="18"/>
          <w:szCs w:val="18"/>
        </w:rPr>
        <w:t xml:space="preserve">enders and AMCs are required to </w:t>
      </w:r>
      <w:r w:rsidRPr="00B10839">
        <w:rPr>
          <w:rFonts w:ascii="Verdana" w:hAnsi="Verdana"/>
          <w:sz w:val="18"/>
          <w:szCs w:val="18"/>
        </w:rPr>
        <w:t>hire the</w:t>
      </w:r>
      <w:r>
        <w:rPr>
          <w:rFonts w:ascii="Verdana" w:hAnsi="Verdana"/>
          <w:sz w:val="18"/>
          <w:szCs w:val="18"/>
        </w:rPr>
        <w:t xml:space="preserve"> best, geographically competent </w:t>
      </w:r>
      <w:r w:rsidRPr="00B10839">
        <w:rPr>
          <w:rFonts w:ascii="Verdana" w:hAnsi="Verdana"/>
          <w:sz w:val="18"/>
          <w:szCs w:val="18"/>
        </w:rPr>
        <w:t>appraiser who is appropriately trained</w:t>
      </w:r>
      <w:r>
        <w:rPr>
          <w:rFonts w:ascii="Verdana" w:hAnsi="Verdana"/>
          <w:sz w:val="18"/>
          <w:szCs w:val="18"/>
        </w:rPr>
        <w:t xml:space="preserve"> </w:t>
      </w:r>
      <w:r w:rsidRPr="00B10839">
        <w:rPr>
          <w:rFonts w:ascii="Verdana" w:hAnsi="Verdana"/>
          <w:sz w:val="18"/>
          <w:szCs w:val="18"/>
        </w:rPr>
        <w:t>and capable of p</w:t>
      </w:r>
      <w:r>
        <w:rPr>
          <w:rFonts w:ascii="Verdana" w:hAnsi="Verdana"/>
          <w:sz w:val="18"/>
          <w:szCs w:val="18"/>
        </w:rPr>
        <w:t xml:space="preserve">roducing a high quality </w:t>
      </w:r>
      <w:r w:rsidRPr="00B10839">
        <w:rPr>
          <w:rFonts w:ascii="Verdana" w:hAnsi="Verdana"/>
          <w:sz w:val="18"/>
          <w:szCs w:val="18"/>
        </w:rPr>
        <w:t>report tha</w:t>
      </w:r>
      <w:r>
        <w:rPr>
          <w:rFonts w:ascii="Verdana" w:hAnsi="Verdana"/>
          <w:sz w:val="18"/>
          <w:szCs w:val="18"/>
        </w:rPr>
        <w:t xml:space="preserve">t will protect the interests of </w:t>
      </w:r>
      <w:r w:rsidRPr="00B10839">
        <w:rPr>
          <w:rFonts w:ascii="Verdana" w:hAnsi="Verdana"/>
          <w:sz w:val="18"/>
          <w:szCs w:val="18"/>
        </w:rPr>
        <w:t>the bank. Fast and cheap are not part of</w:t>
      </w:r>
      <w:r>
        <w:rPr>
          <w:rFonts w:ascii="Verdana" w:hAnsi="Verdana"/>
          <w:sz w:val="18"/>
          <w:szCs w:val="18"/>
        </w:rPr>
        <w:t xml:space="preserve"> </w:t>
      </w:r>
      <w:r w:rsidRPr="00B10839">
        <w:rPr>
          <w:rFonts w:ascii="Verdana" w:hAnsi="Verdana"/>
          <w:sz w:val="18"/>
          <w:szCs w:val="18"/>
        </w:rPr>
        <w:t>the crite</w:t>
      </w:r>
      <w:r>
        <w:rPr>
          <w:rFonts w:ascii="Verdana" w:hAnsi="Verdana"/>
          <w:sz w:val="18"/>
          <w:szCs w:val="18"/>
        </w:rPr>
        <w:t xml:space="preserve">ria. Once two equally competent </w:t>
      </w:r>
      <w:r w:rsidRPr="00B10839">
        <w:rPr>
          <w:rFonts w:ascii="Verdana" w:hAnsi="Verdana"/>
          <w:sz w:val="18"/>
          <w:szCs w:val="18"/>
        </w:rPr>
        <w:t>appraisers are selected for possible hiring,</w:t>
      </w:r>
      <w:r>
        <w:rPr>
          <w:rFonts w:ascii="Verdana" w:hAnsi="Verdana"/>
          <w:sz w:val="18"/>
          <w:szCs w:val="18"/>
        </w:rPr>
        <w:t xml:space="preserve"> </w:t>
      </w:r>
      <w:r w:rsidRPr="00B10839">
        <w:rPr>
          <w:rFonts w:ascii="Verdana" w:hAnsi="Verdana"/>
          <w:sz w:val="18"/>
          <w:szCs w:val="18"/>
        </w:rPr>
        <w:t>now the fee can be part of the final decision.</w:t>
      </w:r>
    </w:p>
    <w:p w:rsidR="00012571" w:rsidRPr="00B10839" w:rsidRDefault="00012571" w:rsidP="00012571">
      <w:pPr>
        <w:pStyle w:val="NoSpacing"/>
        <w:rPr>
          <w:rFonts w:ascii="Verdana" w:hAnsi="Verdana"/>
          <w:sz w:val="18"/>
          <w:szCs w:val="18"/>
        </w:rPr>
      </w:pPr>
    </w:p>
    <w:p w:rsidR="00012571" w:rsidRPr="00B10839" w:rsidRDefault="00012571" w:rsidP="00012571">
      <w:pPr>
        <w:pStyle w:val="NoSpacing"/>
        <w:rPr>
          <w:rFonts w:ascii="Verdana" w:hAnsi="Verdana"/>
          <w:sz w:val="18"/>
          <w:szCs w:val="18"/>
        </w:rPr>
      </w:pPr>
      <w:r w:rsidRPr="00B10839">
        <w:rPr>
          <w:rFonts w:ascii="Verdana" w:hAnsi="Verdana"/>
          <w:sz w:val="18"/>
          <w:szCs w:val="18"/>
        </w:rPr>
        <w:t>The problem is many clients use a</w:t>
      </w:r>
      <w:r>
        <w:rPr>
          <w:rFonts w:ascii="Verdana" w:hAnsi="Verdana"/>
          <w:sz w:val="18"/>
          <w:szCs w:val="18"/>
        </w:rPr>
        <w:t xml:space="preserve"> </w:t>
      </w:r>
      <w:r w:rsidRPr="00B10839">
        <w:rPr>
          <w:rFonts w:ascii="Verdana" w:hAnsi="Verdana"/>
          <w:sz w:val="18"/>
          <w:szCs w:val="18"/>
        </w:rPr>
        <w:t>cheap fee as the determiner of who will</w:t>
      </w:r>
      <w:r>
        <w:rPr>
          <w:rFonts w:ascii="Verdana" w:hAnsi="Verdana"/>
          <w:sz w:val="18"/>
          <w:szCs w:val="18"/>
        </w:rPr>
        <w:t xml:space="preserve"> </w:t>
      </w:r>
      <w:r w:rsidRPr="00B10839">
        <w:rPr>
          <w:rFonts w:ascii="Verdana" w:hAnsi="Verdana"/>
          <w:sz w:val="18"/>
          <w:szCs w:val="18"/>
        </w:rPr>
        <w:t>be considered for selection and hiring.</w:t>
      </w:r>
      <w:r>
        <w:rPr>
          <w:rFonts w:ascii="Verdana" w:hAnsi="Verdana"/>
          <w:sz w:val="18"/>
          <w:szCs w:val="18"/>
        </w:rPr>
        <w:t xml:space="preserve"> </w:t>
      </w:r>
      <w:r w:rsidRPr="00B10839">
        <w:rPr>
          <w:rFonts w:ascii="Verdana" w:hAnsi="Verdana"/>
          <w:sz w:val="18"/>
          <w:szCs w:val="18"/>
        </w:rPr>
        <w:t>They have the selection criteria reversed.</w:t>
      </w:r>
    </w:p>
    <w:p w:rsidR="00012571" w:rsidRPr="00B10839" w:rsidRDefault="00012571" w:rsidP="00012571">
      <w:pPr>
        <w:pStyle w:val="NoSpacing"/>
        <w:rPr>
          <w:rFonts w:ascii="Verdana" w:hAnsi="Verdana"/>
          <w:b/>
          <w:sz w:val="18"/>
          <w:szCs w:val="18"/>
        </w:rPr>
      </w:pPr>
      <w:r>
        <w:rPr>
          <w:rFonts w:ascii="Verdana" w:hAnsi="Verdana"/>
          <w:sz w:val="18"/>
          <w:szCs w:val="18"/>
        </w:rPr>
        <w:br/>
      </w:r>
      <w:r w:rsidRPr="00B10839">
        <w:rPr>
          <w:rFonts w:ascii="Verdana" w:hAnsi="Verdana"/>
          <w:b/>
          <w:sz w:val="18"/>
          <w:szCs w:val="18"/>
        </w:rPr>
        <w:t>Time Has Come Today</w:t>
      </w:r>
    </w:p>
    <w:p w:rsidR="00012571" w:rsidRPr="00B10839" w:rsidRDefault="00012571" w:rsidP="00012571">
      <w:pPr>
        <w:pStyle w:val="NoSpacing"/>
        <w:rPr>
          <w:rFonts w:ascii="Verdana" w:hAnsi="Verdana"/>
          <w:sz w:val="18"/>
          <w:szCs w:val="18"/>
        </w:rPr>
      </w:pPr>
      <w:r w:rsidRPr="00B10839">
        <w:rPr>
          <w:rFonts w:ascii="Verdana" w:hAnsi="Verdana"/>
          <w:sz w:val="18"/>
          <w:szCs w:val="18"/>
        </w:rPr>
        <w:t>The stage has now been set and lenders</w:t>
      </w:r>
      <w:r>
        <w:rPr>
          <w:rFonts w:ascii="Verdana" w:hAnsi="Verdana"/>
          <w:sz w:val="18"/>
          <w:szCs w:val="18"/>
        </w:rPr>
        <w:t xml:space="preserve"> </w:t>
      </w:r>
      <w:r w:rsidRPr="00B10839">
        <w:rPr>
          <w:rFonts w:ascii="Verdana" w:hAnsi="Verdana"/>
          <w:sz w:val="18"/>
          <w:szCs w:val="18"/>
        </w:rPr>
        <w:t xml:space="preserve">and </w:t>
      </w:r>
      <w:r>
        <w:rPr>
          <w:rFonts w:ascii="Verdana" w:hAnsi="Verdana"/>
          <w:sz w:val="18"/>
          <w:szCs w:val="18"/>
        </w:rPr>
        <w:t xml:space="preserve">AMCs who fail to follow the law </w:t>
      </w:r>
      <w:r w:rsidRPr="00B10839">
        <w:rPr>
          <w:rFonts w:ascii="Verdana" w:hAnsi="Verdana"/>
          <w:sz w:val="18"/>
          <w:szCs w:val="18"/>
        </w:rPr>
        <w:t>are going to be impacted. While helping</w:t>
      </w:r>
      <w:r>
        <w:rPr>
          <w:rFonts w:ascii="Verdana" w:hAnsi="Verdana"/>
          <w:sz w:val="18"/>
          <w:szCs w:val="18"/>
        </w:rPr>
        <w:t xml:space="preserve"> </w:t>
      </w:r>
      <w:r w:rsidRPr="00B10839">
        <w:rPr>
          <w:rFonts w:ascii="Verdana" w:hAnsi="Verdana"/>
          <w:sz w:val="18"/>
          <w:szCs w:val="18"/>
        </w:rPr>
        <w:t>a government agency profile and</w:t>
      </w:r>
      <w:r>
        <w:rPr>
          <w:rFonts w:ascii="Verdana" w:hAnsi="Verdana"/>
          <w:sz w:val="18"/>
          <w:szCs w:val="18"/>
        </w:rPr>
        <w:t xml:space="preserve"> </w:t>
      </w:r>
      <w:r w:rsidRPr="00B10839">
        <w:rPr>
          <w:rFonts w:ascii="Verdana" w:hAnsi="Verdana"/>
          <w:sz w:val="18"/>
          <w:szCs w:val="18"/>
        </w:rPr>
        <w:t>understand</w:t>
      </w:r>
      <w:r>
        <w:rPr>
          <w:rFonts w:ascii="Verdana" w:hAnsi="Verdana"/>
          <w:sz w:val="18"/>
          <w:szCs w:val="18"/>
        </w:rPr>
        <w:t xml:space="preserve"> the illegal actions of several </w:t>
      </w:r>
      <w:r w:rsidRPr="00B10839">
        <w:rPr>
          <w:rFonts w:ascii="Verdana" w:hAnsi="Verdana"/>
          <w:sz w:val="18"/>
          <w:szCs w:val="18"/>
        </w:rPr>
        <w:t>AMCs and appraisers, I have discovered</w:t>
      </w:r>
      <w:r>
        <w:rPr>
          <w:rFonts w:ascii="Verdana" w:hAnsi="Verdana"/>
          <w:sz w:val="18"/>
          <w:szCs w:val="18"/>
        </w:rPr>
        <w:t xml:space="preserve"> </w:t>
      </w:r>
      <w:r w:rsidRPr="00B10839">
        <w:rPr>
          <w:rFonts w:ascii="Verdana" w:hAnsi="Verdana"/>
          <w:sz w:val="18"/>
          <w:szCs w:val="18"/>
        </w:rPr>
        <w:t>numerous state actions and agreements</w:t>
      </w:r>
      <w:r>
        <w:rPr>
          <w:rFonts w:ascii="Verdana" w:hAnsi="Verdana"/>
          <w:sz w:val="18"/>
          <w:szCs w:val="18"/>
        </w:rPr>
        <w:t xml:space="preserve"> </w:t>
      </w:r>
      <w:r w:rsidRPr="00B10839">
        <w:rPr>
          <w:rFonts w:ascii="Verdana" w:hAnsi="Verdana"/>
          <w:sz w:val="18"/>
          <w:szCs w:val="18"/>
        </w:rPr>
        <w:t>that in</w:t>
      </w:r>
      <w:r>
        <w:rPr>
          <w:rFonts w:ascii="Verdana" w:hAnsi="Verdana"/>
          <w:sz w:val="18"/>
          <w:szCs w:val="18"/>
        </w:rPr>
        <w:t xml:space="preserve">volve AMCs and their failure to </w:t>
      </w:r>
      <w:r w:rsidRPr="00B10839">
        <w:rPr>
          <w:rFonts w:ascii="Verdana" w:hAnsi="Verdana"/>
          <w:sz w:val="18"/>
          <w:szCs w:val="18"/>
        </w:rPr>
        <w:t>follow the law. It’s clear that states are</w:t>
      </w:r>
      <w:r>
        <w:rPr>
          <w:rFonts w:ascii="Verdana" w:hAnsi="Verdana"/>
          <w:sz w:val="18"/>
          <w:szCs w:val="18"/>
        </w:rPr>
        <w:t xml:space="preserve"> </w:t>
      </w:r>
      <w:r w:rsidRPr="00B10839">
        <w:rPr>
          <w:rFonts w:ascii="Verdana" w:hAnsi="Verdana"/>
          <w:sz w:val="18"/>
          <w:szCs w:val="18"/>
        </w:rPr>
        <w:t>finally b</w:t>
      </w:r>
      <w:r>
        <w:rPr>
          <w:rFonts w:ascii="Verdana" w:hAnsi="Verdana"/>
          <w:sz w:val="18"/>
          <w:szCs w:val="18"/>
        </w:rPr>
        <w:t xml:space="preserve">eginning to answer the call for </w:t>
      </w:r>
      <w:r w:rsidRPr="00B10839">
        <w:rPr>
          <w:rFonts w:ascii="Verdana" w:hAnsi="Verdana"/>
          <w:sz w:val="18"/>
          <w:szCs w:val="18"/>
        </w:rPr>
        <w:t>enforcement. Figure 1 below has just a</w:t>
      </w:r>
      <w:r>
        <w:rPr>
          <w:rFonts w:ascii="Verdana" w:hAnsi="Verdana"/>
          <w:sz w:val="18"/>
          <w:szCs w:val="18"/>
        </w:rPr>
        <w:t xml:space="preserve"> </w:t>
      </w:r>
      <w:r w:rsidRPr="00B10839">
        <w:rPr>
          <w:rFonts w:ascii="Verdana" w:hAnsi="Verdana"/>
          <w:sz w:val="18"/>
          <w:szCs w:val="18"/>
        </w:rPr>
        <w:t>few examples from a handful of states</w:t>
      </w:r>
      <w:r>
        <w:rPr>
          <w:rFonts w:ascii="Verdana" w:hAnsi="Verdana"/>
          <w:sz w:val="18"/>
          <w:szCs w:val="18"/>
        </w:rPr>
        <w:t xml:space="preserve"> </w:t>
      </w:r>
      <w:r w:rsidRPr="00B10839">
        <w:rPr>
          <w:rFonts w:ascii="Verdana" w:hAnsi="Verdana"/>
          <w:sz w:val="18"/>
          <w:szCs w:val="18"/>
        </w:rPr>
        <w:t>in the last few years.</w:t>
      </w:r>
    </w:p>
    <w:tbl>
      <w:tblPr>
        <w:tblW w:w="9990" w:type="dxa"/>
        <w:tblInd w:w="93" w:type="dxa"/>
        <w:tblLook w:val="04A0" w:firstRow="1" w:lastRow="0" w:firstColumn="1" w:lastColumn="0" w:noHBand="0" w:noVBand="1"/>
      </w:tblPr>
      <w:tblGrid>
        <w:gridCol w:w="3165"/>
        <w:gridCol w:w="1998"/>
        <w:gridCol w:w="4827"/>
      </w:tblGrid>
      <w:tr w:rsidR="00012571" w:rsidRPr="00B10839" w:rsidTr="00D53658">
        <w:trPr>
          <w:trHeight w:val="355"/>
        </w:trPr>
        <w:tc>
          <w:tcPr>
            <w:tcW w:w="3165" w:type="dxa"/>
            <w:tcBorders>
              <w:top w:val="single" w:sz="8" w:space="0" w:color="auto"/>
              <w:left w:val="nil"/>
              <w:bottom w:val="single" w:sz="8" w:space="0" w:color="auto"/>
              <w:right w:val="single" w:sz="8" w:space="0" w:color="auto"/>
            </w:tcBorders>
            <w:shd w:val="clear" w:color="auto" w:fill="auto"/>
            <w:vAlign w:val="center"/>
            <w:hideMark/>
          </w:tcPr>
          <w:p w:rsidR="00012571" w:rsidRPr="00B10839" w:rsidRDefault="00012571" w:rsidP="00D53658">
            <w:pPr>
              <w:pStyle w:val="NoSpacing"/>
              <w:rPr>
                <w:rFonts w:ascii="Verdana" w:hAnsi="Verdana"/>
                <w:bCs/>
                <w:color w:val="000000"/>
                <w:sz w:val="18"/>
                <w:szCs w:val="18"/>
              </w:rPr>
            </w:pPr>
            <w:r w:rsidRPr="00B10839">
              <w:rPr>
                <w:rFonts w:ascii="Verdana" w:hAnsi="Verdana"/>
                <w:bCs/>
                <w:color w:val="000000"/>
                <w:sz w:val="18"/>
                <w:szCs w:val="18"/>
              </w:rPr>
              <w:t>AMC</w:t>
            </w:r>
          </w:p>
        </w:tc>
        <w:tc>
          <w:tcPr>
            <w:tcW w:w="1998" w:type="dxa"/>
            <w:tcBorders>
              <w:top w:val="single" w:sz="8" w:space="0" w:color="auto"/>
              <w:left w:val="nil"/>
              <w:bottom w:val="single" w:sz="8" w:space="0" w:color="auto"/>
              <w:right w:val="single" w:sz="8" w:space="0" w:color="auto"/>
            </w:tcBorders>
            <w:shd w:val="clear" w:color="auto" w:fill="auto"/>
            <w:vAlign w:val="center"/>
            <w:hideMark/>
          </w:tcPr>
          <w:p w:rsidR="00012571" w:rsidRPr="00B10839" w:rsidRDefault="00012571" w:rsidP="00D53658">
            <w:pPr>
              <w:pStyle w:val="NoSpacing"/>
              <w:rPr>
                <w:rFonts w:ascii="Verdana" w:hAnsi="Verdana"/>
                <w:bCs/>
                <w:color w:val="000000"/>
                <w:sz w:val="18"/>
                <w:szCs w:val="18"/>
              </w:rPr>
            </w:pPr>
            <w:r w:rsidRPr="00B10839">
              <w:rPr>
                <w:rFonts w:ascii="Verdana" w:hAnsi="Verdana"/>
                <w:bCs/>
                <w:color w:val="000000"/>
                <w:sz w:val="18"/>
                <w:szCs w:val="18"/>
              </w:rPr>
              <w:t>State</w:t>
            </w:r>
          </w:p>
        </w:tc>
        <w:tc>
          <w:tcPr>
            <w:tcW w:w="4827" w:type="dxa"/>
            <w:tcBorders>
              <w:top w:val="single" w:sz="8" w:space="0" w:color="auto"/>
              <w:left w:val="nil"/>
              <w:bottom w:val="single" w:sz="8" w:space="0" w:color="auto"/>
              <w:right w:val="single" w:sz="8" w:space="0" w:color="auto"/>
            </w:tcBorders>
            <w:shd w:val="clear" w:color="auto" w:fill="auto"/>
            <w:vAlign w:val="center"/>
            <w:hideMark/>
          </w:tcPr>
          <w:p w:rsidR="00012571" w:rsidRPr="00B10839" w:rsidRDefault="00012571" w:rsidP="00D53658">
            <w:pPr>
              <w:pStyle w:val="NoSpacing"/>
              <w:rPr>
                <w:rFonts w:ascii="Verdana" w:hAnsi="Verdana"/>
                <w:bCs/>
                <w:color w:val="000000"/>
                <w:sz w:val="18"/>
                <w:szCs w:val="18"/>
              </w:rPr>
            </w:pPr>
            <w:r w:rsidRPr="00B10839">
              <w:rPr>
                <w:rFonts w:ascii="Verdana" w:hAnsi="Verdana"/>
                <w:bCs/>
                <w:color w:val="000000"/>
                <w:sz w:val="18"/>
                <w:szCs w:val="18"/>
              </w:rPr>
              <w:t>Action</w:t>
            </w:r>
          </w:p>
        </w:tc>
      </w:tr>
      <w:tr w:rsidR="00012571" w:rsidRPr="00B10839" w:rsidTr="00D53658">
        <w:trPr>
          <w:trHeight w:val="355"/>
        </w:trPr>
        <w:tc>
          <w:tcPr>
            <w:tcW w:w="3165" w:type="dxa"/>
            <w:tcBorders>
              <w:top w:val="nil"/>
              <w:left w:val="nil"/>
              <w:bottom w:val="single" w:sz="8" w:space="0" w:color="auto"/>
              <w:right w:val="single" w:sz="8" w:space="0" w:color="auto"/>
            </w:tcBorders>
            <w:shd w:val="clear" w:color="auto" w:fill="auto"/>
            <w:vAlign w:val="center"/>
          </w:tcPr>
          <w:p w:rsidR="00012571" w:rsidRPr="00B10839" w:rsidRDefault="00012571" w:rsidP="00D53658">
            <w:pPr>
              <w:pStyle w:val="NoSpacing"/>
              <w:rPr>
                <w:rFonts w:ascii="Verdana" w:hAnsi="Verdana"/>
                <w:color w:val="000000"/>
                <w:sz w:val="18"/>
                <w:szCs w:val="18"/>
              </w:rPr>
            </w:pPr>
            <w:r w:rsidRPr="00B10839">
              <w:rPr>
                <w:rFonts w:ascii="Verdana" w:hAnsi="Verdana"/>
                <w:color w:val="000000"/>
                <w:sz w:val="18"/>
                <w:szCs w:val="18"/>
              </w:rPr>
              <w:t>American Reporting Company</w:t>
            </w:r>
          </w:p>
        </w:tc>
        <w:tc>
          <w:tcPr>
            <w:tcW w:w="1998" w:type="dxa"/>
            <w:tcBorders>
              <w:top w:val="nil"/>
              <w:left w:val="nil"/>
              <w:bottom w:val="single" w:sz="8" w:space="0" w:color="auto"/>
              <w:right w:val="single" w:sz="8" w:space="0" w:color="auto"/>
            </w:tcBorders>
            <w:shd w:val="clear" w:color="auto" w:fill="auto"/>
            <w:vAlign w:val="center"/>
          </w:tcPr>
          <w:p w:rsidR="00012571" w:rsidRPr="00B10839" w:rsidRDefault="00012571" w:rsidP="00D53658">
            <w:pPr>
              <w:pStyle w:val="NoSpacing"/>
              <w:rPr>
                <w:rFonts w:ascii="Verdana" w:hAnsi="Verdana"/>
                <w:color w:val="000000"/>
                <w:sz w:val="18"/>
                <w:szCs w:val="18"/>
              </w:rPr>
            </w:pPr>
            <w:r w:rsidRPr="00B10839">
              <w:rPr>
                <w:rFonts w:ascii="Verdana" w:hAnsi="Verdana"/>
                <w:color w:val="000000"/>
                <w:sz w:val="18"/>
                <w:szCs w:val="18"/>
              </w:rPr>
              <w:t>Washington</w:t>
            </w:r>
          </w:p>
        </w:tc>
        <w:tc>
          <w:tcPr>
            <w:tcW w:w="4827" w:type="dxa"/>
            <w:tcBorders>
              <w:top w:val="nil"/>
              <w:left w:val="nil"/>
              <w:bottom w:val="single" w:sz="8" w:space="0" w:color="auto"/>
              <w:right w:val="single" w:sz="8" w:space="0" w:color="auto"/>
            </w:tcBorders>
            <w:shd w:val="clear" w:color="auto" w:fill="auto"/>
            <w:vAlign w:val="center"/>
          </w:tcPr>
          <w:p w:rsidR="00012571" w:rsidRPr="00B10839" w:rsidRDefault="00012571" w:rsidP="00D53658">
            <w:pPr>
              <w:pStyle w:val="NoSpacing"/>
              <w:rPr>
                <w:rFonts w:ascii="Verdana" w:hAnsi="Verdana"/>
                <w:color w:val="000000"/>
                <w:sz w:val="18"/>
                <w:szCs w:val="18"/>
              </w:rPr>
            </w:pPr>
            <w:r w:rsidRPr="00B10839">
              <w:rPr>
                <w:rFonts w:ascii="Verdana" w:hAnsi="Verdana"/>
                <w:color w:val="000000"/>
                <w:sz w:val="18"/>
                <w:szCs w:val="18"/>
              </w:rPr>
              <w:t>Removed Appraiser from Panel without Notification - $2,000 fine and license suspension (stayed for one year)</w:t>
            </w:r>
          </w:p>
        </w:tc>
      </w:tr>
      <w:tr w:rsidR="00012571" w:rsidRPr="00B10839" w:rsidTr="00D53658">
        <w:trPr>
          <w:trHeight w:val="493"/>
        </w:trPr>
        <w:tc>
          <w:tcPr>
            <w:tcW w:w="3165" w:type="dxa"/>
            <w:tcBorders>
              <w:top w:val="nil"/>
              <w:left w:val="nil"/>
              <w:bottom w:val="single" w:sz="8" w:space="0" w:color="auto"/>
              <w:right w:val="single" w:sz="8" w:space="0" w:color="auto"/>
            </w:tcBorders>
            <w:shd w:val="clear" w:color="auto" w:fill="auto"/>
            <w:vAlign w:val="center"/>
          </w:tcPr>
          <w:p w:rsidR="00012571" w:rsidRPr="00B10839" w:rsidRDefault="00012571" w:rsidP="00D53658">
            <w:pPr>
              <w:pStyle w:val="NoSpacing"/>
              <w:rPr>
                <w:rFonts w:ascii="Verdana" w:hAnsi="Verdana"/>
                <w:color w:val="000000"/>
                <w:sz w:val="18"/>
                <w:szCs w:val="18"/>
              </w:rPr>
            </w:pPr>
            <w:r w:rsidRPr="00B10839">
              <w:rPr>
                <w:rFonts w:ascii="Verdana" w:hAnsi="Verdana"/>
                <w:color w:val="000000"/>
                <w:sz w:val="18"/>
                <w:szCs w:val="18"/>
              </w:rPr>
              <w:t>iMortgage</w:t>
            </w:r>
          </w:p>
        </w:tc>
        <w:tc>
          <w:tcPr>
            <w:tcW w:w="1998" w:type="dxa"/>
            <w:tcBorders>
              <w:top w:val="nil"/>
              <w:left w:val="nil"/>
              <w:bottom w:val="single" w:sz="8" w:space="0" w:color="auto"/>
              <w:right w:val="single" w:sz="8" w:space="0" w:color="auto"/>
            </w:tcBorders>
            <w:shd w:val="clear" w:color="auto" w:fill="auto"/>
            <w:vAlign w:val="center"/>
          </w:tcPr>
          <w:p w:rsidR="00012571" w:rsidRPr="00B10839" w:rsidRDefault="00012571" w:rsidP="00D53658">
            <w:pPr>
              <w:pStyle w:val="NoSpacing"/>
              <w:rPr>
                <w:rFonts w:ascii="Verdana" w:hAnsi="Verdana"/>
                <w:color w:val="000000"/>
                <w:sz w:val="18"/>
                <w:szCs w:val="18"/>
              </w:rPr>
            </w:pPr>
            <w:r w:rsidRPr="00B10839">
              <w:rPr>
                <w:rFonts w:ascii="Verdana" w:hAnsi="Verdana"/>
                <w:color w:val="000000"/>
                <w:sz w:val="18"/>
                <w:szCs w:val="18"/>
              </w:rPr>
              <w:t>Louisiana</w:t>
            </w:r>
          </w:p>
        </w:tc>
        <w:tc>
          <w:tcPr>
            <w:tcW w:w="4827" w:type="dxa"/>
            <w:tcBorders>
              <w:top w:val="nil"/>
              <w:left w:val="nil"/>
              <w:bottom w:val="single" w:sz="8" w:space="0" w:color="auto"/>
              <w:right w:val="single" w:sz="8" w:space="0" w:color="auto"/>
            </w:tcBorders>
            <w:shd w:val="clear" w:color="auto" w:fill="auto"/>
            <w:vAlign w:val="center"/>
          </w:tcPr>
          <w:p w:rsidR="00012571" w:rsidRPr="00B10839" w:rsidRDefault="00012571" w:rsidP="00D53658">
            <w:pPr>
              <w:pStyle w:val="NoSpacing"/>
              <w:rPr>
                <w:rFonts w:ascii="Verdana" w:hAnsi="Verdana"/>
                <w:color w:val="000000"/>
                <w:sz w:val="18"/>
                <w:szCs w:val="18"/>
              </w:rPr>
            </w:pPr>
            <w:r w:rsidRPr="00B10839">
              <w:rPr>
                <w:rFonts w:ascii="Verdana" w:hAnsi="Verdana"/>
                <w:color w:val="000000"/>
                <w:sz w:val="18"/>
                <w:szCs w:val="18"/>
              </w:rPr>
              <w:t>Failure to pay C&amp;R fees – Final order; $10,000 fine and six month license suspension</w:t>
            </w:r>
          </w:p>
        </w:tc>
      </w:tr>
      <w:tr w:rsidR="00012571" w:rsidRPr="00B10839" w:rsidTr="00D53658">
        <w:trPr>
          <w:trHeight w:val="355"/>
        </w:trPr>
        <w:tc>
          <w:tcPr>
            <w:tcW w:w="3165" w:type="dxa"/>
            <w:tcBorders>
              <w:top w:val="nil"/>
              <w:left w:val="nil"/>
              <w:bottom w:val="single" w:sz="8" w:space="0" w:color="auto"/>
              <w:right w:val="single" w:sz="8" w:space="0" w:color="auto"/>
            </w:tcBorders>
            <w:shd w:val="clear" w:color="auto" w:fill="auto"/>
            <w:vAlign w:val="center"/>
            <w:hideMark/>
          </w:tcPr>
          <w:p w:rsidR="00012571" w:rsidRPr="00B10839" w:rsidRDefault="00012571" w:rsidP="00D53658">
            <w:pPr>
              <w:pStyle w:val="NoSpacing"/>
              <w:rPr>
                <w:rFonts w:ascii="Verdana" w:hAnsi="Verdana"/>
                <w:color w:val="000000"/>
                <w:sz w:val="18"/>
                <w:szCs w:val="18"/>
              </w:rPr>
            </w:pPr>
            <w:r w:rsidRPr="00B10839">
              <w:rPr>
                <w:rFonts w:ascii="Verdana" w:hAnsi="Verdana"/>
                <w:color w:val="000000"/>
                <w:sz w:val="18"/>
                <w:szCs w:val="18"/>
              </w:rPr>
              <w:t>Appraisal Express Corporation</w:t>
            </w:r>
          </w:p>
        </w:tc>
        <w:tc>
          <w:tcPr>
            <w:tcW w:w="1998" w:type="dxa"/>
            <w:tcBorders>
              <w:top w:val="nil"/>
              <w:left w:val="nil"/>
              <w:bottom w:val="single" w:sz="8" w:space="0" w:color="auto"/>
              <w:right w:val="single" w:sz="8" w:space="0" w:color="auto"/>
            </w:tcBorders>
            <w:shd w:val="clear" w:color="auto" w:fill="auto"/>
            <w:vAlign w:val="center"/>
          </w:tcPr>
          <w:p w:rsidR="00012571" w:rsidRPr="00B10839" w:rsidRDefault="00012571" w:rsidP="00D53658">
            <w:pPr>
              <w:pStyle w:val="NoSpacing"/>
              <w:rPr>
                <w:rFonts w:ascii="Verdana" w:hAnsi="Verdana"/>
                <w:color w:val="000000"/>
                <w:sz w:val="18"/>
                <w:szCs w:val="18"/>
              </w:rPr>
            </w:pPr>
            <w:r w:rsidRPr="00B10839">
              <w:rPr>
                <w:rFonts w:ascii="Verdana" w:hAnsi="Verdana"/>
                <w:color w:val="000000"/>
                <w:sz w:val="18"/>
                <w:szCs w:val="18"/>
              </w:rPr>
              <w:t>Oregon</w:t>
            </w:r>
          </w:p>
        </w:tc>
        <w:tc>
          <w:tcPr>
            <w:tcW w:w="4827" w:type="dxa"/>
            <w:tcBorders>
              <w:top w:val="nil"/>
              <w:left w:val="nil"/>
              <w:bottom w:val="single" w:sz="8" w:space="0" w:color="auto"/>
              <w:right w:val="single" w:sz="8" w:space="0" w:color="auto"/>
            </w:tcBorders>
            <w:shd w:val="clear" w:color="auto" w:fill="auto"/>
            <w:vAlign w:val="center"/>
          </w:tcPr>
          <w:p w:rsidR="00012571" w:rsidRPr="00B10839" w:rsidRDefault="00012571" w:rsidP="00D53658">
            <w:pPr>
              <w:pStyle w:val="NoSpacing"/>
              <w:rPr>
                <w:rFonts w:ascii="Verdana" w:hAnsi="Verdana"/>
                <w:color w:val="000000"/>
                <w:sz w:val="18"/>
                <w:szCs w:val="18"/>
              </w:rPr>
            </w:pPr>
            <w:r w:rsidRPr="00B10839">
              <w:rPr>
                <w:rFonts w:ascii="Verdana" w:hAnsi="Verdana"/>
                <w:color w:val="000000"/>
                <w:sz w:val="18"/>
                <w:szCs w:val="18"/>
              </w:rPr>
              <w:t>Unlicensed activity, failure to pay on time – Final Order; $87,500 fine</w:t>
            </w:r>
          </w:p>
        </w:tc>
      </w:tr>
      <w:tr w:rsidR="00012571" w:rsidRPr="00B10839" w:rsidTr="00D53658">
        <w:trPr>
          <w:trHeight w:val="355"/>
        </w:trPr>
        <w:tc>
          <w:tcPr>
            <w:tcW w:w="3165" w:type="dxa"/>
            <w:tcBorders>
              <w:top w:val="nil"/>
              <w:left w:val="nil"/>
              <w:bottom w:val="single" w:sz="8" w:space="0" w:color="auto"/>
              <w:right w:val="single" w:sz="8" w:space="0" w:color="auto"/>
            </w:tcBorders>
            <w:shd w:val="clear" w:color="auto" w:fill="auto"/>
            <w:vAlign w:val="center"/>
            <w:hideMark/>
          </w:tcPr>
          <w:p w:rsidR="00012571" w:rsidRPr="00B10839" w:rsidRDefault="00012571" w:rsidP="00D53658">
            <w:pPr>
              <w:pStyle w:val="NoSpacing"/>
              <w:rPr>
                <w:rFonts w:ascii="Verdana" w:hAnsi="Verdana"/>
                <w:color w:val="000000"/>
                <w:sz w:val="18"/>
                <w:szCs w:val="18"/>
              </w:rPr>
            </w:pPr>
            <w:r w:rsidRPr="00B10839">
              <w:rPr>
                <w:rFonts w:ascii="Verdana" w:hAnsi="Verdana"/>
                <w:color w:val="000000"/>
                <w:sz w:val="18"/>
                <w:szCs w:val="18"/>
              </w:rPr>
              <w:t xml:space="preserve">Appraisal Pro </w:t>
            </w:r>
          </w:p>
        </w:tc>
        <w:tc>
          <w:tcPr>
            <w:tcW w:w="1998" w:type="dxa"/>
            <w:tcBorders>
              <w:top w:val="nil"/>
              <w:left w:val="nil"/>
              <w:bottom w:val="single" w:sz="8" w:space="0" w:color="auto"/>
              <w:right w:val="single" w:sz="8" w:space="0" w:color="auto"/>
            </w:tcBorders>
            <w:shd w:val="clear" w:color="auto" w:fill="auto"/>
            <w:vAlign w:val="center"/>
          </w:tcPr>
          <w:p w:rsidR="00012571" w:rsidRPr="00B10839" w:rsidRDefault="00012571" w:rsidP="00D53658">
            <w:pPr>
              <w:pStyle w:val="NoSpacing"/>
              <w:rPr>
                <w:rFonts w:ascii="Verdana" w:hAnsi="Verdana"/>
                <w:color w:val="000000"/>
                <w:sz w:val="18"/>
                <w:szCs w:val="18"/>
              </w:rPr>
            </w:pPr>
            <w:r w:rsidRPr="00B10839">
              <w:rPr>
                <w:rFonts w:ascii="Verdana" w:hAnsi="Verdana"/>
                <w:color w:val="000000"/>
                <w:sz w:val="18"/>
                <w:szCs w:val="18"/>
              </w:rPr>
              <w:t>Minnesota</w:t>
            </w:r>
          </w:p>
        </w:tc>
        <w:tc>
          <w:tcPr>
            <w:tcW w:w="4827" w:type="dxa"/>
            <w:tcBorders>
              <w:top w:val="nil"/>
              <w:left w:val="nil"/>
              <w:bottom w:val="single" w:sz="8" w:space="0" w:color="auto"/>
              <w:right w:val="single" w:sz="8" w:space="0" w:color="auto"/>
            </w:tcBorders>
            <w:shd w:val="clear" w:color="auto" w:fill="auto"/>
            <w:vAlign w:val="center"/>
          </w:tcPr>
          <w:p w:rsidR="00012571" w:rsidRPr="00B10839" w:rsidRDefault="00012571" w:rsidP="00D53658">
            <w:pPr>
              <w:pStyle w:val="NoSpacing"/>
              <w:rPr>
                <w:rFonts w:ascii="Verdana" w:hAnsi="Verdana"/>
                <w:color w:val="000000"/>
                <w:sz w:val="18"/>
                <w:szCs w:val="18"/>
              </w:rPr>
            </w:pPr>
            <w:r w:rsidRPr="00B10839">
              <w:rPr>
                <w:rFonts w:ascii="Verdana" w:hAnsi="Verdana"/>
                <w:color w:val="000000"/>
                <w:sz w:val="18"/>
                <w:szCs w:val="18"/>
              </w:rPr>
              <w:t>Unlicensed activity – Consent Order; $2,500 fine</w:t>
            </w:r>
          </w:p>
        </w:tc>
      </w:tr>
      <w:tr w:rsidR="00012571" w:rsidRPr="00B10839" w:rsidTr="00D53658">
        <w:trPr>
          <w:trHeight w:val="355"/>
        </w:trPr>
        <w:tc>
          <w:tcPr>
            <w:tcW w:w="3165" w:type="dxa"/>
            <w:tcBorders>
              <w:top w:val="nil"/>
              <w:left w:val="nil"/>
              <w:bottom w:val="single" w:sz="8" w:space="0" w:color="auto"/>
              <w:right w:val="single" w:sz="8" w:space="0" w:color="auto"/>
            </w:tcBorders>
            <w:shd w:val="clear" w:color="auto" w:fill="auto"/>
            <w:vAlign w:val="center"/>
            <w:hideMark/>
          </w:tcPr>
          <w:p w:rsidR="00012571" w:rsidRPr="00B10839" w:rsidRDefault="00012571" w:rsidP="00D53658">
            <w:pPr>
              <w:pStyle w:val="NoSpacing"/>
              <w:rPr>
                <w:rFonts w:ascii="Verdana" w:hAnsi="Verdana"/>
                <w:color w:val="000000"/>
                <w:sz w:val="18"/>
                <w:szCs w:val="18"/>
              </w:rPr>
            </w:pPr>
            <w:r w:rsidRPr="00B10839">
              <w:rPr>
                <w:rFonts w:ascii="Verdana" w:hAnsi="Verdana"/>
                <w:color w:val="000000"/>
                <w:sz w:val="18"/>
                <w:szCs w:val="18"/>
              </w:rPr>
              <w:t>AppraisalVendor.com LLC</w:t>
            </w:r>
          </w:p>
        </w:tc>
        <w:tc>
          <w:tcPr>
            <w:tcW w:w="1998" w:type="dxa"/>
            <w:tcBorders>
              <w:top w:val="nil"/>
              <w:left w:val="nil"/>
              <w:bottom w:val="single" w:sz="8" w:space="0" w:color="auto"/>
              <w:right w:val="single" w:sz="8" w:space="0" w:color="auto"/>
            </w:tcBorders>
            <w:shd w:val="clear" w:color="auto" w:fill="auto"/>
            <w:vAlign w:val="center"/>
          </w:tcPr>
          <w:p w:rsidR="00012571" w:rsidRPr="00B10839" w:rsidRDefault="00012571" w:rsidP="00D53658">
            <w:pPr>
              <w:pStyle w:val="NoSpacing"/>
              <w:rPr>
                <w:rFonts w:ascii="Verdana" w:hAnsi="Verdana"/>
                <w:color w:val="000000"/>
                <w:sz w:val="18"/>
                <w:szCs w:val="18"/>
              </w:rPr>
            </w:pPr>
            <w:r w:rsidRPr="00B10839">
              <w:rPr>
                <w:rFonts w:ascii="Verdana" w:hAnsi="Verdana"/>
                <w:color w:val="000000"/>
                <w:sz w:val="18"/>
                <w:szCs w:val="18"/>
              </w:rPr>
              <w:t>Minnesota</w:t>
            </w:r>
          </w:p>
        </w:tc>
        <w:tc>
          <w:tcPr>
            <w:tcW w:w="4827" w:type="dxa"/>
            <w:tcBorders>
              <w:top w:val="nil"/>
              <w:left w:val="nil"/>
              <w:bottom w:val="single" w:sz="8" w:space="0" w:color="auto"/>
              <w:right w:val="single" w:sz="8" w:space="0" w:color="auto"/>
            </w:tcBorders>
            <w:shd w:val="clear" w:color="auto" w:fill="auto"/>
            <w:vAlign w:val="center"/>
          </w:tcPr>
          <w:p w:rsidR="00012571" w:rsidRPr="00B10839" w:rsidRDefault="00012571" w:rsidP="00D53658">
            <w:pPr>
              <w:pStyle w:val="NoSpacing"/>
              <w:rPr>
                <w:rFonts w:ascii="Verdana" w:hAnsi="Verdana"/>
                <w:color w:val="000000"/>
                <w:sz w:val="18"/>
                <w:szCs w:val="18"/>
              </w:rPr>
            </w:pPr>
            <w:r w:rsidRPr="00B10839">
              <w:rPr>
                <w:rFonts w:ascii="Verdana" w:hAnsi="Verdana"/>
                <w:color w:val="000000"/>
                <w:sz w:val="18"/>
                <w:szCs w:val="18"/>
              </w:rPr>
              <w:t>Unlicensed activity – Consent Order; $2,500 fine</w:t>
            </w:r>
          </w:p>
        </w:tc>
      </w:tr>
      <w:tr w:rsidR="00012571" w:rsidRPr="00B10839" w:rsidTr="00D53658">
        <w:trPr>
          <w:trHeight w:val="355"/>
        </w:trPr>
        <w:tc>
          <w:tcPr>
            <w:tcW w:w="3165" w:type="dxa"/>
            <w:tcBorders>
              <w:top w:val="nil"/>
              <w:left w:val="nil"/>
              <w:bottom w:val="single" w:sz="8" w:space="0" w:color="auto"/>
              <w:right w:val="single" w:sz="8" w:space="0" w:color="auto"/>
            </w:tcBorders>
            <w:shd w:val="clear" w:color="auto" w:fill="auto"/>
            <w:vAlign w:val="center"/>
            <w:hideMark/>
          </w:tcPr>
          <w:p w:rsidR="00012571" w:rsidRPr="00B10839" w:rsidRDefault="00012571" w:rsidP="00D53658">
            <w:pPr>
              <w:pStyle w:val="NoSpacing"/>
              <w:rPr>
                <w:rFonts w:ascii="Verdana" w:hAnsi="Verdana"/>
                <w:color w:val="000000"/>
                <w:sz w:val="18"/>
                <w:szCs w:val="18"/>
              </w:rPr>
            </w:pPr>
            <w:r w:rsidRPr="00B10839">
              <w:rPr>
                <w:rFonts w:ascii="Verdana" w:hAnsi="Verdana"/>
                <w:color w:val="000000"/>
                <w:sz w:val="18"/>
                <w:szCs w:val="18"/>
              </w:rPr>
              <w:t>Coester VMS</w:t>
            </w:r>
          </w:p>
        </w:tc>
        <w:tc>
          <w:tcPr>
            <w:tcW w:w="1998" w:type="dxa"/>
            <w:tcBorders>
              <w:top w:val="nil"/>
              <w:left w:val="nil"/>
              <w:bottom w:val="single" w:sz="8" w:space="0" w:color="auto"/>
              <w:right w:val="single" w:sz="8" w:space="0" w:color="auto"/>
            </w:tcBorders>
            <w:shd w:val="clear" w:color="auto" w:fill="auto"/>
            <w:vAlign w:val="center"/>
          </w:tcPr>
          <w:p w:rsidR="00012571" w:rsidRPr="00B10839" w:rsidRDefault="00012571" w:rsidP="00D53658">
            <w:pPr>
              <w:pStyle w:val="NoSpacing"/>
              <w:rPr>
                <w:rFonts w:ascii="Verdana" w:hAnsi="Verdana"/>
                <w:color w:val="000000"/>
                <w:sz w:val="18"/>
                <w:szCs w:val="18"/>
              </w:rPr>
            </w:pPr>
            <w:r w:rsidRPr="00B10839">
              <w:rPr>
                <w:rFonts w:ascii="Verdana" w:hAnsi="Verdana"/>
                <w:color w:val="000000"/>
                <w:sz w:val="18"/>
                <w:szCs w:val="18"/>
              </w:rPr>
              <w:t>North Carolina</w:t>
            </w:r>
          </w:p>
        </w:tc>
        <w:tc>
          <w:tcPr>
            <w:tcW w:w="4827" w:type="dxa"/>
            <w:tcBorders>
              <w:top w:val="nil"/>
              <w:left w:val="nil"/>
              <w:bottom w:val="single" w:sz="8" w:space="0" w:color="auto"/>
              <w:right w:val="single" w:sz="8" w:space="0" w:color="auto"/>
            </w:tcBorders>
            <w:shd w:val="clear" w:color="auto" w:fill="auto"/>
            <w:vAlign w:val="center"/>
          </w:tcPr>
          <w:p w:rsidR="00012571" w:rsidRPr="00B10839" w:rsidRDefault="00012571" w:rsidP="00D53658">
            <w:pPr>
              <w:pStyle w:val="NoSpacing"/>
              <w:rPr>
                <w:rFonts w:ascii="Verdana" w:hAnsi="Verdana"/>
                <w:color w:val="000000"/>
                <w:sz w:val="18"/>
                <w:szCs w:val="18"/>
              </w:rPr>
            </w:pPr>
            <w:r w:rsidRPr="00B10839">
              <w:rPr>
                <w:rFonts w:ascii="Verdana" w:hAnsi="Verdana"/>
                <w:color w:val="000000"/>
                <w:sz w:val="18"/>
                <w:szCs w:val="18"/>
              </w:rPr>
              <w:t>Failure to pay on time - Consent Order; $10,000 payment</w:t>
            </w:r>
          </w:p>
        </w:tc>
      </w:tr>
      <w:tr w:rsidR="00012571" w:rsidRPr="00B10839" w:rsidTr="00D53658">
        <w:trPr>
          <w:trHeight w:val="355"/>
        </w:trPr>
        <w:tc>
          <w:tcPr>
            <w:tcW w:w="3165" w:type="dxa"/>
            <w:tcBorders>
              <w:top w:val="nil"/>
              <w:left w:val="nil"/>
              <w:bottom w:val="single" w:sz="8" w:space="0" w:color="auto"/>
              <w:right w:val="single" w:sz="8" w:space="0" w:color="auto"/>
            </w:tcBorders>
            <w:shd w:val="clear" w:color="auto" w:fill="auto"/>
            <w:vAlign w:val="center"/>
            <w:hideMark/>
          </w:tcPr>
          <w:p w:rsidR="00012571" w:rsidRPr="00B10839" w:rsidRDefault="00012571" w:rsidP="00D53658">
            <w:pPr>
              <w:pStyle w:val="NoSpacing"/>
              <w:rPr>
                <w:rFonts w:ascii="Verdana" w:hAnsi="Verdana"/>
                <w:color w:val="000000"/>
                <w:sz w:val="18"/>
                <w:szCs w:val="18"/>
              </w:rPr>
            </w:pPr>
            <w:r w:rsidRPr="00B10839">
              <w:rPr>
                <w:rFonts w:ascii="Verdana" w:hAnsi="Verdana"/>
                <w:color w:val="000000"/>
                <w:sz w:val="18"/>
                <w:szCs w:val="18"/>
              </w:rPr>
              <w:t>Coester VMS</w:t>
            </w:r>
          </w:p>
        </w:tc>
        <w:tc>
          <w:tcPr>
            <w:tcW w:w="1998" w:type="dxa"/>
            <w:tcBorders>
              <w:top w:val="nil"/>
              <w:left w:val="nil"/>
              <w:bottom w:val="single" w:sz="8" w:space="0" w:color="auto"/>
              <w:right w:val="single" w:sz="8" w:space="0" w:color="auto"/>
            </w:tcBorders>
            <w:shd w:val="clear" w:color="auto" w:fill="auto"/>
            <w:vAlign w:val="center"/>
          </w:tcPr>
          <w:p w:rsidR="00012571" w:rsidRPr="00B10839" w:rsidRDefault="00012571" w:rsidP="00D53658">
            <w:pPr>
              <w:pStyle w:val="NoSpacing"/>
              <w:rPr>
                <w:rFonts w:ascii="Verdana" w:hAnsi="Verdana"/>
                <w:color w:val="000000"/>
                <w:sz w:val="18"/>
                <w:szCs w:val="18"/>
              </w:rPr>
            </w:pPr>
            <w:r w:rsidRPr="00B10839">
              <w:rPr>
                <w:rFonts w:ascii="Verdana" w:hAnsi="Verdana"/>
                <w:color w:val="000000"/>
                <w:sz w:val="18"/>
                <w:szCs w:val="18"/>
              </w:rPr>
              <w:t>Tennessee</w:t>
            </w:r>
          </w:p>
        </w:tc>
        <w:tc>
          <w:tcPr>
            <w:tcW w:w="4827" w:type="dxa"/>
            <w:tcBorders>
              <w:top w:val="nil"/>
              <w:left w:val="nil"/>
              <w:bottom w:val="single" w:sz="8" w:space="0" w:color="auto"/>
              <w:right w:val="single" w:sz="8" w:space="0" w:color="auto"/>
            </w:tcBorders>
            <w:shd w:val="clear" w:color="auto" w:fill="auto"/>
            <w:vAlign w:val="center"/>
          </w:tcPr>
          <w:p w:rsidR="00012571" w:rsidRPr="00B10839" w:rsidRDefault="00012571" w:rsidP="00D53658">
            <w:pPr>
              <w:pStyle w:val="NoSpacing"/>
              <w:rPr>
                <w:rFonts w:ascii="Verdana" w:hAnsi="Verdana"/>
                <w:color w:val="000000"/>
                <w:sz w:val="18"/>
                <w:szCs w:val="18"/>
              </w:rPr>
            </w:pPr>
            <w:r w:rsidRPr="00B10839">
              <w:rPr>
                <w:rFonts w:ascii="Verdana" w:hAnsi="Verdana"/>
                <w:color w:val="000000"/>
                <w:sz w:val="18"/>
                <w:szCs w:val="18"/>
              </w:rPr>
              <w:t>Failure to submit biannual certification</w:t>
            </w:r>
          </w:p>
        </w:tc>
      </w:tr>
      <w:tr w:rsidR="00012571" w:rsidRPr="00B10839" w:rsidTr="00D53658">
        <w:trPr>
          <w:trHeight w:val="355"/>
        </w:trPr>
        <w:tc>
          <w:tcPr>
            <w:tcW w:w="3165" w:type="dxa"/>
            <w:tcBorders>
              <w:top w:val="nil"/>
              <w:left w:val="nil"/>
              <w:bottom w:val="single" w:sz="8" w:space="0" w:color="auto"/>
              <w:right w:val="single" w:sz="8" w:space="0" w:color="auto"/>
            </w:tcBorders>
            <w:shd w:val="clear" w:color="auto" w:fill="auto"/>
            <w:vAlign w:val="center"/>
            <w:hideMark/>
          </w:tcPr>
          <w:p w:rsidR="00012571" w:rsidRPr="00B10839" w:rsidRDefault="00012571" w:rsidP="00D53658">
            <w:pPr>
              <w:pStyle w:val="NoSpacing"/>
              <w:rPr>
                <w:rFonts w:ascii="Verdana" w:hAnsi="Verdana"/>
                <w:color w:val="000000"/>
                <w:sz w:val="18"/>
                <w:szCs w:val="18"/>
              </w:rPr>
            </w:pPr>
            <w:r w:rsidRPr="00B10839">
              <w:rPr>
                <w:rFonts w:ascii="Verdana" w:hAnsi="Verdana"/>
                <w:color w:val="000000"/>
                <w:sz w:val="18"/>
                <w:szCs w:val="18"/>
              </w:rPr>
              <w:t>Coester VMS</w:t>
            </w:r>
          </w:p>
        </w:tc>
        <w:tc>
          <w:tcPr>
            <w:tcW w:w="1998" w:type="dxa"/>
            <w:tcBorders>
              <w:top w:val="nil"/>
              <w:left w:val="nil"/>
              <w:bottom w:val="single" w:sz="8" w:space="0" w:color="auto"/>
              <w:right w:val="single" w:sz="8" w:space="0" w:color="auto"/>
            </w:tcBorders>
            <w:shd w:val="clear" w:color="auto" w:fill="auto"/>
            <w:vAlign w:val="center"/>
          </w:tcPr>
          <w:p w:rsidR="00012571" w:rsidRPr="00B10839" w:rsidRDefault="00012571" w:rsidP="00D53658">
            <w:pPr>
              <w:pStyle w:val="NoSpacing"/>
              <w:rPr>
                <w:rFonts w:ascii="Verdana" w:hAnsi="Verdana"/>
                <w:color w:val="000000"/>
                <w:sz w:val="18"/>
                <w:szCs w:val="18"/>
              </w:rPr>
            </w:pPr>
            <w:r w:rsidRPr="00B10839">
              <w:rPr>
                <w:rFonts w:ascii="Verdana" w:hAnsi="Verdana"/>
                <w:color w:val="000000"/>
                <w:sz w:val="18"/>
                <w:szCs w:val="18"/>
              </w:rPr>
              <w:t>Louisiana</w:t>
            </w:r>
          </w:p>
        </w:tc>
        <w:tc>
          <w:tcPr>
            <w:tcW w:w="4827" w:type="dxa"/>
            <w:tcBorders>
              <w:top w:val="nil"/>
              <w:left w:val="nil"/>
              <w:bottom w:val="single" w:sz="8" w:space="0" w:color="auto"/>
              <w:right w:val="single" w:sz="8" w:space="0" w:color="auto"/>
            </w:tcBorders>
            <w:shd w:val="clear" w:color="auto" w:fill="auto"/>
            <w:vAlign w:val="center"/>
          </w:tcPr>
          <w:p w:rsidR="00012571" w:rsidRPr="00B10839" w:rsidRDefault="00012571" w:rsidP="00D53658">
            <w:pPr>
              <w:pStyle w:val="NoSpacing"/>
              <w:rPr>
                <w:rFonts w:ascii="Verdana" w:hAnsi="Verdana"/>
                <w:color w:val="000000"/>
                <w:sz w:val="18"/>
                <w:szCs w:val="18"/>
              </w:rPr>
            </w:pPr>
            <w:r w:rsidRPr="00B10839">
              <w:rPr>
                <w:rFonts w:ascii="Verdana" w:hAnsi="Verdana"/>
                <w:color w:val="000000"/>
                <w:sz w:val="18"/>
                <w:szCs w:val="18"/>
              </w:rPr>
              <w:t xml:space="preserve">Failure to pay C&amp;R – Memorandum (no admission of guilt); $5,000 Admin. Cost </w:t>
            </w:r>
          </w:p>
        </w:tc>
      </w:tr>
      <w:tr w:rsidR="00012571" w:rsidRPr="00B10839" w:rsidTr="00D53658">
        <w:trPr>
          <w:trHeight w:val="355"/>
        </w:trPr>
        <w:tc>
          <w:tcPr>
            <w:tcW w:w="3165" w:type="dxa"/>
            <w:tcBorders>
              <w:top w:val="nil"/>
              <w:left w:val="nil"/>
              <w:bottom w:val="single" w:sz="8" w:space="0" w:color="auto"/>
              <w:right w:val="single" w:sz="8" w:space="0" w:color="auto"/>
            </w:tcBorders>
            <w:shd w:val="clear" w:color="auto" w:fill="auto"/>
            <w:vAlign w:val="center"/>
            <w:hideMark/>
          </w:tcPr>
          <w:p w:rsidR="00012571" w:rsidRPr="00B10839" w:rsidRDefault="00012571" w:rsidP="00D53658">
            <w:pPr>
              <w:pStyle w:val="NoSpacing"/>
              <w:rPr>
                <w:rFonts w:ascii="Verdana" w:hAnsi="Verdana"/>
                <w:color w:val="000000"/>
                <w:sz w:val="18"/>
                <w:szCs w:val="18"/>
              </w:rPr>
            </w:pPr>
            <w:r w:rsidRPr="00B10839">
              <w:rPr>
                <w:rFonts w:ascii="Verdana" w:hAnsi="Verdana"/>
                <w:color w:val="000000"/>
                <w:sz w:val="18"/>
                <w:szCs w:val="18"/>
              </w:rPr>
              <w:t>Coester VMS</w:t>
            </w:r>
          </w:p>
        </w:tc>
        <w:tc>
          <w:tcPr>
            <w:tcW w:w="1998" w:type="dxa"/>
            <w:tcBorders>
              <w:top w:val="nil"/>
              <w:left w:val="nil"/>
              <w:bottom w:val="single" w:sz="8" w:space="0" w:color="auto"/>
              <w:right w:val="single" w:sz="8" w:space="0" w:color="auto"/>
            </w:tcBorders>
            <w:shd w:val="clear" w:color="auto" w:fill="auto"/>
            <w:vAlign w:val="center"/>
          </w:tcPr>
          <w:p w:rsidR="00012571" w:rsidRPr="00B10839" w:rsidRDefault="00012571" w:rsidP="00D53658">
            <w:pPr>
              <w:pStyle w:val="NoSpacing"/>
              <w:rPr>
                <w:rFonts w:ascii="Verdana" w:hAnsi="Verdana"/>
                <w:color w:val="000000"/>
                <w:sz w:val="18"/>
                <w:szCs w:val="18"/>
              </w:rPr>
            </w:pPr>
            <w:r w:rsidRPr="00B10839">
              <w:rPr>
                <w:rFonts w:ascii="Verdana" w:hAnsi="Verdana"/>
                <w:color w:val="000000"/>
                <w:sz w:val="18"/>
                <w:szCs w:val="18"/>
              </w:rPr>
              <w:t>Minnesota</w:t>
            </w:r>
          </w:p>
        </w:tc>
        <w:tc>
          <w:tcPr>
            <w:tcW w:w="4827" w:type="dxa"/>
            <w:tcBorders>
              <w:top w:val="nil"/>
              <w:left w:val="nil"/>
              <w:bottom w:val="single" w:sz="8" w:space="0" w:color="auto"/>
              <w:right w:val="single" w:sz="8" w:space="0" w:color="auto"/>
            </w:tcBorders>
            <w:shd w:val="clear" w:color="auto" w:fill="auto"/>
            <w:vAlign w:val="center"/>
          </w:tcPr>
          <w:p w:rsidR="00012571" w:rsidRPr="00B10839" w:rsidRDefault="00012571" w:rsidP="00D53658">
            <w:pPr>
              <w:pStyle w:val="NoSpacing"/>
              <w:rPr>
                <w:rFonts w:ascii="Verdana" w:hAnsi="Verdana"/>
                <w:color w:val="000000"/>
                <w:sz w:val="18"/>
                <w:szCs w:val="18"/>
              </w:rPr>
            </w:pPr>
            <w:r w:rsidRPr="00B10839">
              <w:rPr>
                <w:rFonts w:ascii="Verdana" w:hAnsi="Verdana"/>
                <w:color w:val="000000"/>
                <w:sz w:val="18"/>
                <w:szCs w:val="18"/>
              </w:rPr>
              <w:t>Unlicensed activity, false advertising, failure to respond - Consent Order; $12,500 fine</w:t>
            </w:r>
          </w:p>
        </w:tc>
      </w:tr>
      <w:tr w:rsidR="00012571" w:rsidRPr="00B10839" w:rsidTr="00D53658">
        <w:trPr>
          <w:trHeight w:val="355"/>
        </w:trPr>
        <w:tc>
          <w:tcPr>
            <w:tcW w:w="3165" w:type="dxa"/>
            <w:tcBorders>
              <w:top w:val="nil"/>
              <w:left w:val="nil"/>
              <w:bottom w:val="single" w:sz="8" w:space="0" w:color="auto"/>
              <w:right w:val="single" w:sz="8" w:space="0" w:color="auto"/>
            </w:tcBorders>
            <w:shd w:val="clear" w:color="auto" w:fill="auto"/>
            <w:vAlign w:val="center"/>
            <w:hideMark/>
          </w:tcPr>
          <w:p w:rsidR="00012571" w:rsidRPr="00B10839" w:rsidRDefault="00012571" w:rsidP="00D53658">
            <w:pPr>
              <w:pStyle w:val="NoSpacing"/>
              <w:rPr>
                <w:rFonts w:ascii="Verdana" w:hAnsi="Verdana"/>
                <w:color w:val="000000"/>
                <w:sz w:val="18"/>
                <w:szCs w:val="18"/>
              </w:rPr>
            </w:pPr>
            <w:r w:rsidRPr="00B10839">
              <w:rPr>
                <w:rFonts w:ascii="Verdana" w:hAnsi="Verdana"/>
                <w:color w:val="000000"/>
                <w:sz w:val="18"/>
                <w:szCs w:val="18"/>
              </w:rPr>
              <w:t>Interthinx</w:t>
            </w:r>
          </w:p>
        </w:tc>
        <w:tc>
          <w:tcPr>
            <w:tcW w:w="1998" w:type="dxa"/>
            <w:tcBorders>
              <w:top w:val="nil"/>
              <w:left w:val="nil"/>
              <w:bottom w:val="single" w:sz="8" w:space="0" w:color="auto"/>
              <w:right w:val="single" w:sz="8" w:space="0" w:color="auto"/>
            </w:tcBorders>
            <w:shd w:val="clear" w:color="auto" w:fill="auto"/>
            <w:vAlign w:val="center"/>
          </w:tcPr>
          <w:p w:rsidR="00012571" w:rsidRPr="00B10839" w:rsidRDefault="00012571" w:rsidP="00D53658">
            <w:pPr>
              <w:pStyle w:val="NoSpacing"/>
              <w:rPr>
                <w:rFonts w:ascii="Verdana" w:hAnsi="Verdana"/>
                <w:color w:val="000000"/>
                <w:sz w:val="18"/>
                <w:szCs w:val="18"/>
              </w:rPr>
            </w:pPr>
            <w:r w:rsidRPr="00B10839">
              <w:rPr>
                <w:rFonts w:ascii="Verdana" w:hAnsi="Verdana"/>
                <w:color w:val="000000"/>
                <w:sz w:val="18"/>
                <w:szCs w:val="18"/>
              </w:rPr>
              <w:t>Minnesota</w:t>
            </w:r>
          </w:p>
        </w:tc>
        <w:tc>
          <w:tcPr>
            <w:tcW w:w="4827" w:type="dxa"/>
            <w:tcBorders>
              <w:top w:val="nil"/>
              <w:left w:val="nil"/>
              <w:bottom w:val="single" w:sz="8" w:space="0" w:color="auto"/>
              <w:right w:val="single" w:sz="8" w:space="0" w:color="auto"/>
            </w:tcBorders>
            <w:shd w:val="clear" w:color="auto" w:fill="auto"/>
            <w:vAlign w:val="center"/>
          </w:tcPr>
          <w:p w:rsidR="00012571" w:rsidRPr="00B10839" w:rsidRDefault="00012571" w:rsidP="00D53658">
            <w:pPr>
              <w:pStyle w:val="NoSpacing"/>
              <w:rPr>
                <w:rFonts w:ascii="Verdana" w:hAnsi="Verdana"/>
                <w:color w:val="000000"/>
                <w:sz w:val="18"/>
                <w:szCs w:val="18"/>
              </w:rPr>
            </w:pPr>
            <w:r w:rsidRPr="00B10839">
              <w:rPr>
                <w:rFonts w:ascii="Verdana" w:hAnsi="Verdana"/>
                <w:color w:val="000000"/>
                <w:sz w:val="18"/>
                <w:szCs w:val="18"/>
              </w:rPr>
              <w:t>Unlicensed activity - Consent Cease and Desist Order; $12,500 fine</w:t>
            </w:r>
          </w:p>
        </w:tc>
      </w:tr>
      <w:tr w:rsidR="00012571" w:rsidRPr="00B10839" w:rsidTr="00D53658">
        <w:trPr>
          <w:trHeight w:val="355"/>
        </w:trPr>
        <w:tc>
          <w:tcPr>
            <w:tcW w:w="3165" w:type="dxa"/>
            <w:tcBorders>
              <w:top w:val="nil"/>
              <w:left w:val="nil"/>
              <w:bottom w:val="single" w:sz="8" w:space="0" w:color="auto"/>
              <w:right w:val="single" w:sz="8" w:space="0" w:color="auto"/>
            </w:tcBorders>
            <w:shd w:val="clear" w:color="auto" w:fill="auto"/>
            <w:vAlign w:val="center"/>
            <w:hideMark/>
          </w:tcPr>
          <w:p w:rsidR="00012571" w:rsidRPr="00B10839" w:rsidRDefault="00012571" w:rsidP="00D53658">
            <w:pPr>
              <w:pStyle w:val="NoSpacing"/>
              <w:rPr>
                <w:rFonts w:ascii="Verdana" w:hAnsi="Verdana"/>
                <w:color w:val="000000"/>
                <w:sz w:val="18"/>
                <w:szCs w:val="18"/>
              </w:rPr>
            </w:pPr>
            <w:r w:rsidRPr="00B10839">
              <w:rPr>
                <w:rFonts w:ascii="Verdana" w:hAnsi="Verdana"/>
                <w:color w:val="000000"/>
                <w:sz w:val="18"/>
                <w:szCs w:val="18"/>
              </w:rPr>
              <w:t>Landmark Network, Inc.</w:t>
            </w:r>
          </w:p>
        </w:tc>
        <w:tc>
          <w:tcPr>
            <w:tcW w:w="1998" w:type="dxa"/>
            <w:tcBorders>
              <w:top w:val="nil"/>
              <w:left w:val="nil"/>
              <w:bottom w:val="single" w:sz="8" w:space="0" w:color="auto"/>
              <w:right w:val="single" w:sz="8" w:space="0" w:color="auto"/>
            </w:tcBorders>
            <w:shd w:val="clear" w:color="auto" w:fill="auto"/>
            <w:vAlign w:val="center"/>
          </w:tcPr>
          <w:p w:rsidR="00012571" w:rsidRPr="00B10839" w:rsidRDefault="00012571" w:rsidP="00D53658">
            <w:pPr>
              <w:pStyle w:val="NoSpacing"/>
              <w:rPr>
                <w:rFonts w:ascii="Verdana" w:hAnsi="Verdana"/>
                <w:color w:val="000000"/>
                <w:sz w:val="18"/>
                <w:szCs w:val="18"/>
              </w:rPr>
            </w:pPr>
            <w:r w:rsidRPr="00B10839">
              <w:rPr>
                <w:rFonts w:ascii="Verdana" w:hAnsi="Verdana"/>
                <w:color w:val="000000"/>
                <w:sz w:val="18"/>
                <w:szCs w:val="18"/>
              </w:rPr>
              <w:t>Minnesota</w:t>
            </w:r>
          </w:p>
        </w:tc>
        <w:tc>
          <w:tcPr>
            <w:tcW w:w="4827" w:type="dxa"/>
            <w:tcBorders>
              <w:top w:val="nil"/>
              <w:left w:val="nil"/>
              <w:bottom w:val="single" w:sz="8" w:space="0" w:color="auto"/>
              <w:right w:val="single" w:sz="8" w:space="0" w:color="auto"/>
            </w:tcBorders>
            <w:shd w:val="clear" w:color="auto" w:fill="auto"/>
            <w:vAlign w:val="center"/>
          </w:tcPr>
          <w:p w:rsidR="00012571" w:rsidRPr="00B10839" w:rsidRDefault="00012571" w:rsidP="00D53658">
            <w:pPr>
              <w:pStyle w:val="NoSpacing"/>
              <w:rPr>
                <w:rFonts w:ascii="Verdana" w:hAnsi="Verdana"/>
                <w:color w:val="000000"/>
                <w:sz w:val="18"/>
                <w:szCs w:val="18"/>
              </w:rPr>
            </w:pPr>
            <w:r w:rsidRPr="00B10839">
              <w:rPr>
                <w:rFonts w:ascii="Verdana" w:hAnsi="Verdana"/>
                <w:color w:val="000000"/>
                <w:sz w:val="18"/>
                <w:szCs w:val="18"/>
              </w:rPr>
              <w:t>Unlicensed activity – Penalty Agreement $2,500</w:t>
            </w:r>
          </w:p>
        </w:tc>
      </w:tr>
      <w:tr w:rsidR="00012571" w:rsidRPr="00B10839" w:rsidTr="00D53658">
        <w:trPr>
          <w:trHeight w:val="355"/>
        </w:trPr>
        <w:tc>
          <w:tcPr>
            <w:tcW w:w="3165" w:type="dxa"/>
            <w:tcBorders>
              <w:top w:val="nil"/>
              <w:left w:val="nil"/>
              <w:bottom w:val="single" w:sz="8" w:space="0" w:color="auto"/>
              <w:right w:val="single" w:sz="8" w:space="0" w:color="auto"/>
            </w:tcBorders>
            <w:shd w:val="clear" w:color="auto" w:fill="auto"/>
            <w:vAlign w:val="center"/>
            <w:hideMark/>
          </w:tcPr>
          <w:p w:rsidR="00012571" w:rsidRPr="00B10839" w:rsidRDefault="00012571" w:rsidP="00D53658">
            <w:pPr>
              <w:pStyle w:val="NoSpacing"/>
              <w:rPr>
                <w:rFonts w:ascii="Verdana" w:hAnsi="Verdana"/>
                <w:color w:val="000000"/>
                <w:sz w:val="18"/>
                <w:szCs w:val="18"/>
              </w:rPr>
            </w:pPr>
            <w:r w:rsidRPr="00B10839">
              <w:rPr>
                <w:rFonts w:ascii="Verdana" w:hAnsi="Verdana"/>
                <w:color w:val="000000"/>
                <w:sz w:val="18"/>
                <w:szCs w:val="18"/>
              </w:rPr>
              <w:t>Liberty One</w:t>
            </w:r>
          </w:p>
        </w:tc>
        <w:tc>
          <w:tcPr>
            <w:tcW w:w="1998" w:type="dxa"/>
            <w:tcBorders>
              <w:top w:val="nil"/>
              <w:left w:val="nil"/>
              <w:bottom w:val="single" w:sz="8" w:space="0" w:color="auto"/>
              <w:right w:val="single" w:sz="8" w:space="0" w:color="auto"/>
            </w:tcBorders>
            <w:shd w:val="clear" w:color="auto" w:fill="auto"/>
            <w:vAlign w:val="center"/>
            <w:hideMark/>
          </w:tcPr>
          <w:p w:rsidR="00012571" w:rsidRPr="00B10839" w:rsidRDefault="00012571" w:rsidP="00D53658">
            <w:pPr>
              <w:pStyle w:val="NoSpacing"/>
              <w:rPr>
                <w:rFonts w:ascii="Verdana" w:hAnsi="Verdana"/>
                <w:color w:val="000000"/>
                <w:sz w:val="18"/>
                <w:szCs w:val="18"/>
              </w:rPr>
            </w:pPr>
            <w:r w:rsidRPr="00B10839">
              <w:rPr>
                <w:rFonts w:ascii="Verdana" w:hAnsi="Verdana"/>
                <w:color w:val="000000"/>
                <w:sz w:val="18"/>
                <w:szCs w:val="18"/>
              </w:rPr>
              <w:t>Minnesota</w:t>
            </w:r>
          </w:p>
        </w:tc>
        <w:tc>
          <w:tcPr>
            <w:tcW w:w="4827" w:type="dxa"/>
            <w:tcBorders>
              <w:top w:val="nil"/>
              <w:left w:val="nil"/>
              <w:bottom w:val="single" w:sz="8" w:space="0" w:color="auto"/>
              <w:right w:val="single" w:sz="8" w:space="0" w:color="auto"/>
            </w:tcBorders>
            <w:shd w:val="clear" w:color="auto" w:fill="auto"/>
            <w:vAlign w:val="center"/>
            <w:hideMark/>
          </w:tcPr>
          <w:p w:rsidR="00012571" w:rsidRPr="00B10839" w:rsidRDefault="00012571" w:rsidP="00D53658">
            <w:pPr>
              <w:pStyle w:val="NoSpacing"/>
              <w:rPr>
                <w:rFonts w:ascii="Verdana" w:hAnsi="Verdana"/>
                <w:color w:val="000000"/>
                <w:sz w:val="18"/>
                <w:szCs w:val="18"/>
              </w:rPr>
            </w:pPr>
            <w:r w:rsidRPr="00B10839">
              <w:rPr>
                <w:rFonts w:ascii="Verdana" w:hAnsi="Verdana"/>
                <w:color w:val="000000"/>
                <w:sz w:val="18"/>
                <w:szCs w:val="18"/>
              </w:rPr>
              <w:t>Repeat Failures - Civil Order; $20,000 fine</w:t>
            </w:r>
          </w:p>
        </w:tc>
      </w:tr>
      <w:tr w:rsidR="00012571" w:rsidRPr="00B10839" w:rsidTr="00D53658">
        <w:trPr>
          <w:trHeight w:val="355"/>
        </w:trPr>
        <w:tc>
          <w:tcPr>
            <w:tcW w:w="3165" w:type="dxa"/>
            <w:tcBorders>
              <w:top w:val="nil"/>
              <w:left w:val="nil"/>
              <w:bottom w:val="single" w:sz="8" w:space="0" w:color="auto"/>
              <w:right w:val="single" w:sz="8" w:space="0" w:color="auto"/>
            </w:tcBorders>
            <w:shd w:val="clear" w:color="auto" w:fill="auto"/>
            <w:vAlign w:val="center"/>
            <w:hideMark/>
          </w:tcPr>
          <w:p w:rsidR="00012571" w:rsidRPr="00B10839" w:rsidRDefault="00012571" w:rsidP="00D53658">
            <w:pPr>
              <w:pStyle w:val="NoSpacing"/>
              <w:rPr>
                <w:rFonts w:ascii="Verdana" w:hAnsi="Verdana"/>
                <w:color w:val="000000"/>
                <w:sz w:val="18"/>
                <w:szCs w:val="18"/>
              </w:rPr>
            </w:pPr>
            <w:r w:rsidRPr="00B10839">
              <w:rPr>
                <w:rFonts w:ascii="Verdana" w:hAnsi="Verdana"/>
                <w:color w:val="000000"/>
                <w:sz w:val="18"/>
                <w:szCs w:val="18"/>
              </w:rPr>
              <w:t xml:space="preserve">Nadlan Valuations, Inc </w:t>
            </w:r>
          </w:p>
        </w:tc>
        <w:tc>
          <w:tcPr>
            <w:tcW w:w="1998" w:type="dxa"/>
            <w:tcBorders>
              <w:top w:val="nil"/>
              <w:left w:val="nil"/>
              <w:bottom w:val="single" w:sz="8" w:space="0" w:color="auto"/>
              <w:right w:val="single" w:sz="8" w:space="0" w:color="auto"/>
            </w:tcBorders>
            <w:shd w:val="clear" w:color="auto" w:fill="auto"/>
            <w:vAlign w:val="center"/>
          </w:tcPr>
          <w:p w:rsidR="00012571" w:rsidRPr="00B10839" w:rsidRDefault="00012571" w:rsidP="00D53658">
            <w:pPr>
              <w:pStyle w:val="NoSpacing"/>
              <w:rPr>
                <w:rFonts w:ascii="Verdana" w:hAnsi="Verdana"/>
                <w:color w:val="000000"/>
                <w:sz w:val="18"/>
                <w:szCs w:val="18"/>
              </w:rPr>
            </w:pPr>
            <w:r w:rsidRPr="00B10839">
              <w:rPr>
                <w:rFonts w:ascii="Verdana" w:hAnsi="Verdana"/>
                <w:color w:val="000000"/>
                <w:sz w:val="18"/>
                <w:szCs w:val="18"/>
              </w:rPr>
              <w:t>Minnesota</w:t>
            </w:r>
          </w:p>
        </w:tc>
        <w:tc>
          <w:tcPr>
            <w:tcW w:w="4827" w:type="dxa"/>
            <w:tcBorders>
              <w:top w:val="nil"/>
              <w:left w:val="nil"/>
              <w:bottom w:val="single" w:sz="8" w:space="0" w:color="auto"/>
              <w:right w:val="single" w:sz="8" w:space="0" w:color="auto"/>
            </w:tcBorders>
            <w:shd w:val="clear" w:color="auto" w:fill="auto"/>
            <w:vAlign w:val="center"/>
          </w:tcPr>
          <w:p w:rsidR="00012571" w:rsidRPr="00B10839" w:rsidRDefault="00012571" w:rsidP="00D53658">
            <w:pPr>
              <w:pStyle w:val="NoSpacing"/>
              <w:rPr>
                <w:rFonts w:ascii="Verdana" w:hAnsi="Verdana"/>
                <w:color w:val="000000"/>
                <w:sz w:val="18"/>
                <w:szCs w:val="18"/>
              </w:rPr>
            </w:pPr>
            <w:r w:rsidRPr="00B10839">
              <w:rPr>
                <w:rFonts w:ascii="Verdana" w:hAnsi="Verdana"/>
                <w:color w:val="000000"/>
                <w:sz w:val="18"/>
                <w:szCs w:val="18"/>
              </w:rPr>
              <w:t>Unlicensed activity, false and misleading statements – Conclusions of Law; $30,000 fine</w:t>
            </w:r>
          </w:p>
        </w:tc>
      </w:tr>
      <w:tr w:rsidR="00012571" w:rsidRPr="00B10839" w:rsidTr="00D53658">
        <w:trPr>
          <w:trHeight w:val="355"/>
        </w:trPr>
        <w:tc>
          <w:tcPr>
            <w:tcW w:w="3165" w:type="dxa"/>
            <w:tcBorders>
              <w:top w:val="nil"/>
              <w:left w:val="nil"/>
              <w:bottom w:val="single" w:sz="8" w:space="0" w:color="auto"/>
              <w:right w:val="single" w:sz="8" w:space="0" w:color="auto"/>
            </w:tcBorders>
            <w:shd w:val="clear" w:color="auto" w:fill="auto"/>
            <w:vAlign w:val="center"/>
            <w:hideMark/>
          </w:tcPr>
          <w:p w:rsidR="00012571" w:rsidRPr="00B10839" w:rsidRDefault="00012571" w:rsidP="00D53658">
            <w:pPr>
              <w:pStyle w:val="NoSpacing"/>
              <w:rPr>
                <w:rFonts w:ascii="Verdana" w:hAnsi="Verdana"/>
                <w:color w:val="000000"/>
                <w:sz w:val="18"/>
                <w:szCs w:val="18"/>
              </w:rPr>
            </w:pPr>
            <w:r w:rsidRPr="00B10839">
              <w:rPr>
                <w:rFonts w:ascii="Verdana" w:hAnsi="Verdana"/>
                <w:color w:val="000000"/>
                <w:sz w:val="18"/>
                <w:szCs w:val="18"/>
              </w:rPr>
              <w:t>Preferred Appraisals</w:t>
            </w:r>
          </w:p>
        </w:tc>
        <w:tc>
          <w:tcPr>
            <w:tcW w:w="1998" w:type="dxa"/>
            <w:tcBorders>
              <w:top w:val="nil"/>
              <w:left w:val="nil"/>
              <w:bottom w:val="single" w:sz="8" w:space="0" w:color="auto"/>
              <w:right w:val="single" w:sz="8" w:space="0" w:color="auto"/>
            </w:tcBorders>
            <w:shd w:val="clear" w:color="auto" w:fill="auto"/>
            <w:vAlign w:val="center"/>
          </w:tcPr>
          <w:p w:rsidR="00012571" w:rsidRPr="00B10839" w:rsidRDefault="00012571" w:rsidP="00D53658">
            <w:pPr>
              <w:pStyle w:val="NoSpacing"/>
              <w:rPr>
                <w:rFonts w:ascii="Verdana" w:hAnsi="Verdana"/>
                <w:color w:val="000000"/>
                <w:sz w:val="18"/>
                <w:szCs w:val="18"/>
              </w:rPr>
            </w:pPr>
            <w:r w:rsidRPr="00B10839">
              <w:rPr>
                <w:rFonts w:ascii="Verdana" w:hAnsi="Verdana"/>
                <w:color w:val="000000"/>
                <w:sz w:val="18"/>
                <w:szCs w:val="18"/>
              </w:rPr>
              <w:t>Minnesota</w:t>
            </w:r>
          </w:p>
        </w:tc>
        <w:tc>
          <w:tcPr>
            <w:tcW w:w="4827" w:type="dxa"/>
            <w:tcBorders>
              <w:top w:val="nil"/>
              <w:left w:val="nil"/>
              <w:bottom w:val="single" w:sz="8" w:space="0" w:color="auto"/>
              <w:right w:val="single" w:sz="8" w:space="0" w:color="auto"/>
            </w:tcBorders>
            <w:shd w:val="clear" w:color="auto" w:fill="auto"/>
            <w:vAlign w:val="center"/>
          </w:tcPr>
          <w:p w:rsidR="00012571" w:rsidRPr="00B10839" w:rsidRDefault="00012571" w:rsidP="00D53658">
            <w:pPr>
              <w:pStyle w:val="NoSpacing"/>
              <w:rPr>
                <w:rFonts w:ascii="Verdana" w:hAnsi="Verdana"/>
                <w:color w:val="000000"/>
                <w:sz w:val="18"/>
                <w:szCs w:val="18"/>
              </w:rPr>
            </w:pPr>
            <w:r w:rsidRPr="00B10839">
              <w:rPr>
                <w:rFonts w:ascii="Verdana" w:hAnsi="Verdana"/>
                <w:color w:val="000000"/>
                <w:sz w:val="18"/>
                <w:szCs w:val="18"/>
              </w:rPr>
              <w:t>Unlicensed activity – Consent Order; $20,000 fine</w:t>
            </w:r>
          </w:p>
        </w:tc>
      </w:tr>
      <w:tr w:rsidR="00012571" w:rsidRPr="00B10839" w:rsidTr="00D53658">
        <w:trPr>
          <w:trHeight w:val="355"/>
        </w:trPr>
        <w:tc>
          <w:tcPr>
            <w:tcW w:w="3165" w:type="dxa"/>
            <w:tcBorders>
              <w:top w:val="nil"/>
              <w:left w:val="nil"/>
              <w:bottom w:val="single" w:sz="8" w:space="0" w:color="auto"/>
              <w:right w:val="single" w:sz="8" w:space="0" w:color="auto"/>
            </w:tcBorders>
            <w:shd w:val="clear" w:color="auto" w:fill="auto"/>
            <w:vAlign w:val="center"/>
            <w:hideMark/>
          </w:tcPr>
          <w:p w:rsidR="00012571" w:rsidRPr="00B10839" w:rsidRDefault="00012571" w:rsidP="00D53658">
            <w:pPr>
              <w:pStyle w:val="NoSpacing"/>
              <w:rPr>
                <w:rFonts w:ascii="Verdana" w:hAnsi="Verdana"/>
                <w:color w:val="000000"/>
                <w:sz w:val="18"/>
                <w:szCs w:val="18"/>
              </w:rPr>
            </w:pPr>
            <w:r w:rsidRPr="00B10839">
              <w:rPr>
                <w:rFonts w:ascii="Verdana" w:hAnsi="Verdana"/>
                <w:color w:val="000000"/>
                <w:sz w:val="18"/>
                <w:szCs w:val="18"/>
              </w:rPr>
              <w:t>Residential RealEstate Review</w:t>
            </w:r>
          </w:p>
        </w:tc>
        <w:tc>
          <w:tcPr>
            <w:tcW w:w="1998" w:type="dxa"/>
            <w:tcBorders>
              <w:top w:val="nil"/>
              <w:left w:val="nil"/>
              <w:bottom w:val="single" w:sz="8" w:space="0" w:color="auto"/>
              <w:right w:val="single" w:sz="8" w:space="0" w:color="auto"/>
            </w:tcBorders>
            <w:shd w:val="clear" w:color="auto" w:fill="auto"/>
            <w:vAlign w:val="center"/>
          </w:tcPr>
          <w:p w:rsidR="00012571" w:rsidRPr="00B10839" w:rsidRDefault="00012571" w:rsidP="00D53658">
            <w:pPr>
              <w:pStyle w:val="NoSpacing"/>
              <w:rPr>
                <w:rFonts w:ascii="Verdana" w:hAnsi="Verdana"/>
                <w:color w:val="000000"/>
                <w:sz w:val="18"/>
                <w:szCs w:val="18"/>
              </w:rPr>
            </w:pPr>
            <w:r w:rsidRPr="00B10839">
              <w:rPr>
                <w:rFonts w:ascii="Verdana" w:hAnsi="Verdana"/>
                <w:color w:val="000000"/>
                <w:sz w:val="18"/>
                <w:szCs w:val="18"/>
              </w:rPr>
              <w:t>North Carolina</w:t>
            </w:r>
          </w:p>
        </w:tc>
        <w:tc>
          <w:tcPr>
            <w:tcW w:w="4827" w:type="dxa"/>
            <w:tcBorders>
              <w:top w:val="nil"/>
              <w:left w:val="nil"/>
              <w:bottom w:val="single" w:sz="8" w:space="0" w:color="auto"/>
              <w:right w:val="single" w:sz="8" w:space="0" w:color="auto"/>
            </w:tcBorders>
            <w:shd w:val="clear" w:color="auto" w:fill="auto"/>
            <w:vAlign w:val="center"/>
          </w:tcPr>
          <w:p w:rsidR="00012571" w:rsidRPr="00B10839" w:rsidRDefault="00012571" w:rsidP="00D53658">
            <w:pPr>
              <w:pStyle w:val="NoSpacing"/>
              <w:rPr>
                <w:rFonts w:ascii="Verdana" w:hAnsi="Verdana"/>
                <w:color w:val="000000"/>
                <w:sz w:val="18"/>
                <w:szCs w:val="18"/>
              </w:rPr>
            </w:pPr>
            <w:r w:rsidRPr="00B10839">
              <w:rPr>
                <w:rFonts w:ascii="Verdana" w:hAnsi="Verdana"/>
                <w:color w:val="000000"/>
                <w:sz w:val="18"/>
                <w:szCs w:val="18"/>
              </w:rPr>
              <w:t>Failure to pay on time - Consent Order; $1,000 fine</w:t>
            </w:r>
          </w:p>
        </w:tc>
      </w:tr>
      <w:tr w:rsidR="00012571" w:rsidRPr="00B10839" w:rsidTr="00D53658">
        <w:trPr>
          <w:trHeight w:val="355"/>
        </w:trPr>
        <w:tc>
          <w:tcPr>
            <w:tcW w:w="3165" w:type="dxa"/>
            <w:tcBorders>
              <w:top w:val="nil"/>
              <w:left w:val="nil"/>
              <w:bottom w:val="single" w:sz="8" w:space="0" w:color="auto"/>
              <w:right w:val="single" w:sz="8" w:space="0" w:color="auto"/>
            </w:tcBorders>
            <w:shd w:val="clear" w:color="auto" w:fill="auto"/>
            <w:vAlign w:val="center"/>
            <w:hideMark/>
          </w:tcPr>
          <w:p w:rsidR="00012571" w:rsidRPr="00B10839" w:rsidRDefault="00012571" w:rsidP="00D53658">
            <w:pPr>
              <w:pStyle w:val="NoSpacing"/>
              <w:rPr>
                <w:rFonts w:ascii="Verdana" w:hAnsi="Verdana"/>
                <w:color w:val="000000"/>
                <w:sz w:val="18"/>
                <w:szCs w:val="18"/>
              </w:rPr>
            </w:pPr>
            <w:r w:rsidRPr="00B10839">
              <w:rPr>
                <w:rFonts w:ascii="Verdana" w:hAnsi="Verdana"/>
                <w:color w:val="000000"/>
                <w:sz w:val="18"/>
                <w:szCs w:val="18"/>
              </w:rPr>
              <w:t>US Appraisal Group, Inc.</w:t>
            </w:r>
          </w:p>
        </w:tc>
        <w:tc>
          <w:tcPr>
            <w:tcW w:w="1998" w:type="dxa"/>
            <w:tcBorders>
              <w:top w:val="nil"/>
              <w:left w:val="nil"/>
              <w:bottom w:val="single" w:sz="8" w:space="0" w:color="auto"/>
              <w:right w:val="single" w:sz="8" w:space="0" w:color="auto"/>
            </w:tcBorders>
            <w:shd w:val="clear" w:color="auto" w:fill="auto"/>
            <w:vAlign w:val="center"/>
          </w:tcPr>
          <w:p w:rsidR="00012571" w:rsidRPr="00B10839" w:rsidRDefault="00012571" w:rsidP="00D53658">
            <w:pPr>
              <w:pStyle w:val="NoSpacing"/>
              <w:rPr>
                <w:rFonts w:ascii="Verdana" w:hAnsi="Verdana"/>
                <w:color w:val="000000"/>
                <w:sz w:val="18"/>
                <w:szCs w:val="18"/>
              </w:rPr>
            </w:pPr>
            <w:r w:rsidRPr="00B10839">
              <w:rPr>
                <w:rFonts w:ascii="Verdana" w:hAnsi="Verdana"/>
                <w:color w:val="000000"/>
                <w:sz w:val="18"/>
                <w:szCs w:val="18"/>
              </w:rPr>
              <w:t>Minnesota</w:t>
            </w:r>
          </w:p>
        </w:tc>
        <w:tc>
          <w:tcPr>
            <w:tcW w:w="4827" w:type="dxa"/>
            <w:tcBorders>
              <w:top w:val="nil"/>
              <w:left w:val="nil"/>
              <w:bottom w:val="single" w:sz="8" w:space="0" w:color="auto"/>
              <w:right w:val="single" w:sz="8" w:space="0" w:color="auto"/>
            </w:tcBorders>
            <w:shd w:val="clear" w:color="auto" w:fill="auto"/>
            <w:vAlign w:val="center"/>
          </w:tcPr>
          <w:p w:rsidR="00012571" w:rsidRPr="00B10839" w:rsidRDefault="00012571" w:rsidP="00D53658">
            <w:pPr>
              <w:pStyle w:val="NoSpacing"/>
              <w:rPr>
                <w:rFonts w:ascii="Verdana" w:hAnsi="Verdana"/>
                <w:color w:val="000000"/>
                <w:sz w:val="18"/>
                <w:szCs w:val="18"/>
              </w:rPr>
            </w:pPr>
            <w:r w:rsidRPr="00B10839">
              <w:rPr>
                <w:rFonts w:ascii="Verdana" w:hAnsi="Verdana"/>
                <w:color w:val="000000"/>
                <w:sz w:val="18"/>
                <w:szCs w:val="18"/>
              </w:rPr>
              <w:t>Failure to pay appraisers - Conclusions of Law; $50,000 fine</w:t>
            </w:r>
          </w:p>
        </w:tc>
      </w:tr>
      <w:tr w:rsidR="00012571" w:rsidRPr="00B10839" w:rsidTr="00D53658">
        <w:trPr>
          <w:trHeight w:val="355"/>
        </w:trPr>
        <w:tc>
          <w:tcPr>
            <w:tcW w:w="3165" w:type="dxa"/>
            <w:tcBorders>
              <w:top w:val="nil"/>
              <w:left w:val="nil"/>
              <w:bottom w:val="nil"/>
              <w:right w:val="single" w:sz="8" w:space="0" w:color="auto"/>
            </w:tcBorders>
            <w:shd w:val="clear" w:color="auto" w:fill="auto"/>
            <w:vAlign w:val="center"/>
            <w:hideMark/>
          </w:tcPr>
          <w:p w:rsidR="00012571" w:rsidRPr="00B10839" w:rsidRDefault="00012571" w:rsidP="00D53658">
            <w:pPr>
              <w:pStyle w:val="NoSpacing"/>
              <w:rPr>
                <w:rFonts w:ascii="Verdana" w:hAnsi="Verdana"/>
                <w:color w:val="000000"/>
                <w:sz w:val="18"/>
                <w:szCs w:val="18"/>
              </w:rPr>
            </w:pPr>
            <w:r w:rsidRPr="00B10839">
              <w:rPr>
                <w:rFonts w:ascii="Verdana" w:hAnsi="Verdana"/>
                <w:color w:val="000000"/>
                <w:sz w:val="18"/>
                <w:szCs w:val="18"/>
              </w:rPr>
              <w:t xml:space="preserve">Vesta Valuation, LLC </w:t>
            </w:r>
          </w:p>
        </w:tc>
        <w:tc>
          <w:tcPr>
            <w:tcW w:w="1998" w:type="dxa"/>
            <w:tcBorders>
              <w:top w:val="nil"/>
              <w:left w:val="nil"/>
              <w:bottom w:val="nil"/>
              <w:right w:val="single" w:sz="8" w:space="0" w:color="auto"/>
            </w:tcBorders>
            <w:shd w:val="clear" w:color="auto" w:fill="auto"/>
            <w:vAlign w:val="center"/>
          </w:tcPr>
          <w:p w:rsidR="00012571" w:rsidRPr="00B10839" w:rsidRDefault="00012571" w:rsidP="00D53658">
            <w:pPr>
              <w:pStyle w:val="NoSpacing"/>
              <w:rPr>
                <w:rFonts w:ascii="Verdana" w:hAnsi="Verdana"/>
                <w:color w:val="000000"/>
                <w:sz w:val="18"/>
                <w:szCs w:val="18"/>
              </w:rPr>
            </w:pPr>
            <w:r w:rsidRPr="00B10839">
              <w:rPr>
                <w:rFonts w:ascii="Verdana" w:hAnsi="Verdana"/>
                <w:color w:val="000000"/>
                <w:sz w:val="18"/>
                <w:szCs w:val="18"/>
              </w:rPr>
              <w:t>Minnesota</w:t>
            </w:r>
          </w:p>
        </w:tc>
        <w:tc>
          <w:tcPr>
            <w:tcW w:w="4827" w:type="dxa"/>
            <w:tcBorders>
              <w:top w:val="nil"/>
              <w:left w:val="nil"/>
              <w:bottom w:val="nil"/>
              <w:right w:val="single" w:sz="8" w:space="0" w:color="auto"/>
            </w:tcBorders>
            <w:shd w:val="clear" w:color="auto" w:fill="auto"/>
            <w:vAlign w:val="center"/>
          </w:tcPr>
          <w:p w:rsidR="00012571" w:rsidRPr="00B10839" w:rsidRDefault="00012571" w:rsidP="00D53658">
            <w:pPr>
              <w:pStyle w:val="NoSpacing"/>
              <w:rPr>
                <w:rFonts w:ascii="Verdana" w:hAnsi="Verdana"/>
                <w:color w:val="000000"/>
                <w:sz w:val="18"/>
                <w:szCs w:val="18"/>
              </w:rPr>
            </w:pPr>
            <w:r w:rsidRPr="00B10839">
              <w:rPr>
                <w:rFonts w:ascii="Verdana" w:hAnsi="Verdana"/>
                <w:color w:val="000000"/>
                <w:sz w:val="18"/>
                <w:szCs w:val="18"/>
              </w:rPr>
              <w:t>Failure to timely pay appraisers – Consent Order; Revocation of license, $50,000 fine</w:t>
            </w:r>
          </w:p>
        </w:tc>
      </w:tr>
    </w:tbl>
    <w:p w:rsidR="00012571" w:rsidRPr="00B10839" w:rsidRDefault="00012571" w:rsidP="00012571">
      <w:pPr>
        <w:pStyle w:val="NoSpacing"/>
        <w:rPr>
          <w:rFonts w:ascii="Verdana" w:hAnsi="Verdana"/>
          <w:sz w:val="18"/>
          <w:szCs w:val="18"/>
        </w:rPr>
      </w:pPr>
    </w:p>
    <w:p w:rsidR="00012571" w:rsidRPr="00B10839" w:rsidRDefault="00012571" w:rsidP="00012571">
      <w:pPr>
        <w:pStyle w:val="NoSpacing"/>
        <w:rPr>
          <w:rFonts w:ascii="Verdana" w:hAnsi="Verdana"/>
          <w:sz w:val="18"/>
          <w:szCs w:val="18"/>
        </w:rPr>
      </w:pPr>
    </w:p>
    <w:p w:rsidR="00012571" w:rsidRPr="00B10839" w:rsidRDefault="00012571" w:rsidP="00012571">
      <w:pPr>
        <w:pStyle w:val="NoSpacing"/>
        <w:rPr>
          <w:rFonts w:ascii="Verdana" w:hAnsi="Verdana"/>
          <w:sz w:val="18"/>
          <w:szCs w:val="18"/>
        </w:rPr>
      </w:pPr>
      <w:r w:rsidRPr="00B10839">
        <w:rPr>
          <w:rFonts w:ascii="Verdana" w:hAnsi="Verdana"/>
          <w:sz w:val="18"/>
          <w:szCs w:val="18"/>
        </w:rPr>
        <w:t xml:space="preserve">After reading some of these </w:t>
      </w:r>
      <w:r>
        <w:rPr>
          <w:rFonts w:ascii="Verdana" w:hAnsi="Verdana"/>
          <w:sz w:val="18"/>
          <w:szCs w:val="18"/>
        </w:rPr>
        <w:t xml:space="preserve">state </w:t>
      </w:r>
      <w:r w:rsidRPr="00B10839">
        <w:rPr>
          <w:rFonts w:ascii="Verdana" w:hAnsi="Verdana"/>
          <w:sz w:val="18"/>
          <w:szCs w:val="18"/>
        </w:rPr>
        <w:t>ac</w:t>
      </w:r>
      <w:r>
        <w:rPr>
          <w:rFonts w:ascii="Verdana" w:hAnsi="Verdana"/>
          <w:sz w:val="18"/>
          <w:szCs w:val="18"/>
        </w:rPr>
        <w:t xml:space="preserve">tions, you get the feeling that </w:t>
      </w:r>
      <w:r w:rsidRPr="00B10839">
        <w:rPr>
          <w:rFonts w:ascii="Verdana" w:hAnsi="Verdana"/>
          <w:sz w:val="18"/>
          <w:szCs w:val="18"/>
        </w:rPr>
        <w:t>many AMCs believe themselves to be</w:t>
      </w:r>
      <w:r w:rsidR="00916E18">
        <w:rPr>
          <w:rFonts w:ascii="Verdana" w:hAnsi="Verdana"/>
          <w:sz w:val="18"/>
          <w:szCs w:val="18"/>
        </w:rPr>
        <w:t xml:space="preserve"> </w:t>
      </w:r>
      <w:bookmarkStart w:id="0" w:name="_GoBack"/>
      <w:bookmarkEnd w:id="0"/>
      <w:r w:rsidRPr="00B10839">
        <w:rPr>
          <w:rFonts w:ascii="Verdana" w:hAnsi="Verdana"/>
          <w:sz w:val="18"/>
          <w:szCs w:val="18"/>
        </w:rPr>
        <w:t>above the law or were trying to twist</w:t>
      </w:r>
      <w:r>
        <w:rPr>
          <w:rFonts w:ascii="Verdana" w:hAnsi="Verdana"/>
          <w:sz w:val="18"/>
          <w:szCs w:val="18"/>
        </w:rPr>
        <w:t xml:space="preserve"> </w:t>
      </w:r>
      <w:r w:rsidRPr="00B10839">
        <w:rPr>
          <w:rFonts w:ascii="Verdana" w:hAnsi="Verdana"/>
          <w:sz w:val="18"/>
          <w:szCs w:val="18"/>
        </w:rPr>
        <w:t>the m</w:t>
      </w:r>
      <w:r>
        <w:rPr>
          <w:rFonts w:ascii="Verdana" w:hAnsi="Verdana"/>
          <w:sz w:val="18"/>
          <w:szCs w:val="18"/>
        </w:rPr>
        <w:t xml:space="preserve">eaning of the law to suit their </w:t>
      </w:r>
      <w:r w:rsidRPr="00B10839">
        <w:rPr>
          <w:rFonts w:ascii="Verdana" w:hAnsi="Verdana"/>
          <w:sz w:val="18"/>
          <w:szCs w:val="18"/>
        </w:rPr>
        <w:t xml:space="preserve">needs. These cases mark </w:t>
      </w:r>
      <w:r w:rsidRPr="00B10839">
        <w:rPr>
          <w:rFonts w:ascii="Verdana" w:hAnsi="Verdana"/>
          <w:sz w:val="18"/>
          <w:szCs w:val="18"/>
        </w:rPr>
        <w:lastRenderedPageBreak/>
        <w:t>the beginning</w:t>
      </w:r>
      <w:r>
        <w:rPr>
          <w:rFonts w:ascii="Verdana" w:hAnsi="Verdana"/>
          <w:sz w:val="18"/>
          <w:szCs w:val="18"/>
        </w:rPr>
        <w:t xml:space="preserve"> of government actions against </w:t>
      </w:r>
      <w:r w:rsidRPr="00B10839">
        <w:rPr>
          <w:rFonts w:ascii="Verdana" w:hAnsi="Verdana"/>
          <w:sz w:val="18"/>
          <w:szCs w:val="18"/>
        </w:rPr>
        <w:t>AM</w:t>
      </w:r>
      <w:r>
        <w:rPr>
          <w:rFonts w:ascii="Verdana" w:hAnsi="Verdana"/>
          <w:sz w:val="18"/>
          <w:szCs w:val="18"/>
        </w:rPr>
        <w:t xml:space="preserve">Cs. Minnesota, Louisiana, North </w:t>
      </w:r>
      <w:r w:rsidRPr="00B10839">
        <w:rPr>
          <w:rFonts w:ascii="Verdana" w:hAnsi="Verdana"/>
          <w:sz w:val="18"/>
          <w:szCs w:val="18"/>
        </w:rPr>
        <w:t>Caro</w:t>
      </w:r>
      <w:r>
        <w:rPr>
          <w:rFonts w:ascii="Verdana" w:hAnsi="Verdana"/>
          <w:sz w:val="18"/>
          <w:szCs w:val="18"/>
        </w:rPr>
        <w:t xml:space="preserve">lina, Oregon, Washington, and </w:t>
      </w:r>
      <w:r w:rsidRPr="00B10839">
        <w:rPr>
          <w:rFonts w:ascii="Verdana" w:hAnsi="Verdana"/>
          <w:sz w:val="18"/>
          <w:szCs w:val="18"/>
        </w:rPr>
        <w:t>Tenne</w:t>
      </w:r>
      <w:r>
        <w:rPr>
          <w:rFonts w:ascii="Verdana" w:hAnsi="Verdana"/>
          <w:sz w:val="18"/>
          <w:szCs w:val="18"/>
        </w:rPr>
        <w:t xml:space="preserve">ssee are leading the way; other </w:t>
      </w:r>
      <w:r w:rsidRPr="00B10839">
        <w:rPr>
          <w:rFonts w:ascii="Verdana" w:hAnsi="Verdana"/>
          <w:sz w:val="18"/>
          <w:szCs w:val="18"/>
        </w:rPr>
        <w:t>stat</w:t>
      </w:r>
      <w:r>
        <w:rPr>
          <w:rFonts w:ascii="Verdana" w:hAnsi="Verdana"/>
          <w:sz w:val="18"/>
          <w:szCs w:val="18"/>
        </w:rPr>
        <w:t xml:space="preserve">es are right behind them. There </w:t>
      </w:r>
      <w:r w:rsidRPr="00B10839">
        <w:rPr>
          <w:rFonts w:ascii="Verdana" w:hAnsi="Verdana"/>
          <w:sz w:val="18"/>
          <w:szCs w:val="18"/>
        </w:rPr>
        <w:t>are numerous (let me repeat that),</w:t>
      </w:r>
      <w:r>
        <w:rPr>
          <w:rFonts w:ascii="Verdana" w:hAnsi="Verdana"/>
          <w:sz w:val="18"/>
          <w:szCs w:val="18"/>
        </w:rPr>
        <w:t xml:space="preserve"> </w:t>
      </w:r>
      <w:r w:rsidRPr="00B10839">
        <w:rPr>
          <w:rFonts w:ascii="Verdana" w:hAnsi="Verdana"/>
          <w:sz w:val="18"/>
          <w:szCs w:val="18"/>
        </w:rPr>
        <w:t>NU</w:t>
      </w:r>
      <w:r>
        <w:rPr>
          <w:rFonts w:ascii="Verdana" w:hAnsi="Verdana"/>
          <w:sz w:val="18"/>
          <w:szCs w:val="18"/>
        </w:rPr>
        <w:t xml:space="preserve">MEROUS investigations currently </w:t>
      </w:r>
      <w:r w:rsidRPr="00B10839">
        <w:rPr>
          <w:rFonts w:ascii="Verdana" w:hAnsi="Verdana"/>
          <w:sz w:val="18"/>
          <w:szCs w:val="18"/>
        </w:rPr>
        <w:t>unde</w:t>
      </w:r>
      <w:r>
        <w:rPr>
          <w:rFonts w:ascii="Verdana" w:hAnsi="Verdana"/>
          <w:sz w:val="18"/>
          <w:szCs w:val="18"/>
        </w:rPr>
        <w:t xml:space="preserve">rway in many states. There will </w:t>
      </w:r>
      <w:r w:rsidRPr="00B10839">
        <w:rPr>
          <w:rFonts w:ascii="Verdana" w:hAnsi="Verdana"/>
          <w:sz w:val="18"/>
          <w:szCs w:val="18"/>
        </w:rPr>
        <w:t>be more investigations and increased</w:t>
      </w:r>
      <w:r>
        <w:rPr>
          <w:rFonts w:ascii="Verdana" w:hAnsi="Verdana"/>
          <w:sz w:val="18"/>
          <w:szCs w:val="18"/>
        </w:rPr>
        <w:t xml:space="preserve"> </w:t>
      </w:r>
      <w:r w:rsidRPr="00B10839">
        <w:rPr>
          <w:rFonts w:ascii="Verdana" w:hAnsi="Verdana"/>
          <w:sz w:val="18"/>
          <w:szCs w:val="18"/>
        </w:rPr>
        <w:t>enfor</w:t>
      </w:r>
      <w:r>
        <w:rPr>
          <w:rFonts w:ascii="Verdana" w:hAnsi="Verdana"/>
          <w:sz w:val="18"/>
          <w:szCs w:val="18"/>
        </w:rPr>
        <w:t xml:space="preserve">cement actions and penalties. A </w:t>
      </w:r>
      <w:r w:rsidRPr="00B10839">
        <w:rPr>
          <w:rFonts w:ascii="Verdana" w:hAnsi="Verdana"/>
          <w:sz w:val="18"/>
          <w:szCs w:val="18"/>
        </w:rPr>
        <w:t>$50,000 penalty is a blip compared</w:t>
      </w:r>
      <w:r>
        <w:rPr>
          <w:rFonts w:ascii="Verdana" w:hAnsi="Verdana"/>
          <w:sz w:val="18"/>
          <w:szCs w:val="18"/>
        </w:rPr>
        <w:t xml:space="preserve"> </w:t>
      </w:r>
      <w:r w:rsidRPr="00B10839">
        <w:rPr>
          <w:rFonts w:ascii="Verdana" w:hAnsi="Verdana"/>
          <w:sz w:val="18"/>
          <w:szCs w:val="18"/>
        </w:rPr>
        <w:t>to wh</w:t>
      </w:r>
      <w:r>
        <w:rPr>
          <w:rFonts w:ascii="Verdana" w:hAnsi="Verdana"/>
          <w:sz w:val="18"/>
          <w:szCs w:val="18"/>
        </w:rPr>
        <w:t xml:space="preserve">at is being contemplated by one </w:t>
      </w:r>
      <w:r w:rsidRPr="00B10839">
        <w:rPr>
          <w:rFonts w:ascii="Verdana" w:hAnsi="Verdana"/>
          <w:sz w:val="18"/>
          <w:szCs w:val="18"/>
        </w:rPr>
        <w:t>government agency right now.</w:t>
      </w:r>
    </w:p>
    <w:p w:rsidR="00012571" w:rsidRPr="00B10839" w:rsidRDefault="00012571" w:rsidP="00012571">
      <w:pPr>
        <w:pStyle w:val="NoSpacing"/>
        <w:rPr>
          <w:rFonts w:ascii="Verdana" w:hAnsi="Verdana"/>
          <w:b/>
          <w:sz w:val="18"/>
          <w:szCs w:val="18"/>
        </w:rPr>
      </w:pPr>
      <w:r>
        <w:rPr>
          <w:rFonts w:ascii="Verdana" w:hAnsi="Verdana"/>
          <w:sz w:val="18"/>
          <w:szCs w:val="18"/>
        </w:rPr>
        <w:br/>
      </w:r>
      <w:r w:rsidRPr="00B10839">
        <w:rPr>
          <w:rFonts w:ascii="Verdana" w:hAnsi="Verdana"/>
          <w:b/>
          <w:sz w:val="18"/>
          <w:szCs w:val="18"/>
        </w:rPr>
        <w:t>A Word of Warning</w:t>
      </w:r>
    </w:p>
    <w:p w:rsidR="00012571" w:rsidRPr="00B10839" w:rsidRDefault="00012571" w:rsidP="00012571">
      <w:pPr>
        <w:pStyle w:val="NoSpacing"/>
        <w:rPr>
          <w:rFonts w:ascii="Verdana" w:hAnsi="Verdana"/>
          <w:sz w:val="18"/>
          <w:szCs w:val="18"/>
        </w:rPr>
      </w:pPr>
      <w:r w:rsidRPr="00B10839">
        <w:rPr>
          <w:rFonts w:ascii="Verdana" w:hAnsi="Verdana"/>
          <w:sz w:val="18"/>
          <w:szCs w:val="18"/>
        </w:rPr>
        <w:t>I’m tryin</w:t>
      </w:r>
      <w:r>
        <w:rPr>
          <w:rFonts w:ascii="Verdana" w:hAnsi="Verdana"/>
          <w:sz w:val="18"/>
          <w:szCs w:val="18"/>
        </w:rPr>
        <w:t xml:space="preserve">g to keep you safe out there by </w:t>
      </w:r>
      <w:r w:rsidRPr="00B10839">
        <w:rPr>
          <w:rFonts w:ascii="Verdana" w:hAnsi="Verdana"/>
          <w:sz w:val="18"/>
          <w:szCs w:val="18"/>
        </w:rPr>
        <w:t>provi</w:t>
      </w:r>
      <w:r>
        <w:rPr>
          <w:rFonts w:ascii="Verdana" w:hAnsi="Verdana"/>
          <w:sz w:val="18"/>
          <w:szCs w:val="18"/>
        </w:rPr>
        <w:t xml:space="preserve">ding words of warning: </w:t>
      </w:r>
      <w:r>
        <w:rPr>
          <w:rFonts w:ascii="Verdana" w:hAnsi="Verdana"/>
          <w:sz w:val="18"/>
          <w:szCs w:val="18"/>
        </w:rPr>
        <w:br/>
      </w:r>
      <w:r>
        <w:rPr>
          <w:rFonts w:ascii="Verdana" w:hAnsi="Verdana"/>
          <w:sz w:val="18"/>
          <w:szCs w:val="18"/>
        </w:rPr>
        <w:br/>
      </w:r>
      <w:r w:rsidRPr="00B10839">
        <w:rPr>
          <w:rFonts w:ascii="Verdana" w:hAnsi="Verdana"/>
          <w:sz w:val="18"/>
          <w:szCs w:val="18"/>
        </w:rPr>
        <w:t>Lenders—Be careful whom you hire to</w:t>
      </w:r>
      <w:r>
        <w:rPr>
          <w:rFonts w:ascii="Verdana" w:hAnsi="Verdana"/>
          <w:sz w:val="18"/>
          <w:szCs w:val="18"/>
        </w:rPr>
        <w:t xml:space="preserve"> </w:t>
      </w:r>
      <w:r w:rsidRPr="00B10839">
        <w:rPr>
          <w:rFonts w:ascii="Verdana" w:hAnsi="Verdana"/>
          <w:sz w:val="18"/>
          <w:szCs w:val="18"/>
        </w:rPr>
        <w:t xml:space="preserve">manage </w:t>
      </w:r>
      <w:r>
        <w:rPr>
          <w:rFonts w:ascii="Verdana" w:hAnsi="Verdana"/>
          <w:sz w:val="18"/>
          <w:szCs w:val="18"/>
        </w:rPr>
        <w:t xml:space="preserve">appraisers. Government agencies </w:t>
      </w:r>
      <w:r w:rsidRPr="00B10839">
        <w:rPr>
          <w:rFonts w:ascii="Verdana" w:hAnsi="Verdana"/>
          <w:sz w:val="18"/>
          <w:szCs w:val="18"/>
        </w:rPr>
        <w:t>are examining your hiring policies,</w:t>
      </w:r>
      <w:r>
        <w:rPr>
          <w:rFonts w:ascii="Verdana" w:hAnsi="Verdana"/>
          <w:sz w:val="18"/>
          <w:szCs w:val="18"/>
        </w:rPr>
        <w:t xml:space="preserve"> </w:t>
      </w:r>
      <w:r w:rsidRPr="00B10839">
        <w:rPr>
          <w:rFonts w:ascii="Verdana" w:hAnsi="Verdana"/>
          <w:sz w:val="18"/>
          <w:szCs w:val="18"/>
        </w:rPr>
        <w:t>procedures, and your required testing of</w:t>
      </w:r>
      <w:r>
        <w:rPr>
          <w:rFonts w:ascii="Verdana" w:hAnsi="Verdana"/>
          <w:sz w:val="18"/>
          <w:szCs w:val="18"/>
        </w:rPr>
        <w:t xml:space="preserve"> </w:t>
      </w:r>
      <w:r w:rsidRPr="00B10839">
        <w:rPr>
          <w:rFonts w:ascii="Verdana" w:hAnsi="Verdana"/>
          <w:sz w:val="18"/>
          <w:szCs w:val="18"/>
        </w:rPr>
        <w:t>third-party vendors (AMCs). If lenders</w:t>
      </w:r>
      <w:r>
        <w:rPr>
          <w:rFonts w:ascii="Verdana" w:hAnsi="Verdana"/>
          <w:sz w:val="18"/>
          <w:szCs w:val="18"/>
        </w:rPr>
        <w:t xml:space="preserve"> </w:t>
      </w:r>
      <w:r w:rsidRPr="00B10839">
        <w:rPr>
          <w:rFonts w:ascii="Verdana" w:hAnsi="Verdana"/>
          <w:sz w:val="18"/>
          <w:szCs w:val="18"/>
        </w:rPr>
        <w:t>fail to follow safe and sound practices</w:t>
      </w:r>
      <w:r>
        <w:rPr>
          <w:rFonts w:ascii="Verdana" w:hAnsi="Verdana"/>
          <w:sz w:val="18"/>
          <w:szCs w:val="18"/>
        </w:rPr>
        <w:t xml:space="preserve"> </w:t>
      </w:r>
      <w:r w:rsidRPr="00B10839">
        <w:rPr>
          <w:rFonts w:ascii="Verdana" w:hAnsi="Verdana"/>
          <w:sz w:val="18"/>
          <w:szCs w:val="18"/>
        </w:rPr>
        <w:t>and institute proper procedures, they</w:t>
      </w:r>
      <w:r>
        <w:rPr>
          <w:rFonts w:ascii="Verdana" w:hAnsi="Verdana"/>
          <w:sz w:val="18"/>
          <w:szCs w:val="18"/>
        </w:rPr>
        <w:t xml:space="preserve"> </w:t>
      </w:r>
      <w:r w:rsidRPr="00B10839">
        <w:rPr>
          <w:rFonts w:ascii="Verdana" w:hAnsi="Verdana"/>
          <w:sz w:val="18"/>
          <w:szCs w:val="18"/>
        </w:rPr>
        <w:t>face millio</w:t>
      </w:r>
      <w:r>
        <w:rPr>
          <w:rFonts w:ascii="Verdana" w:hAnsi="Verdana"/>
          <w:sz w:val="18"/>
          <w:szCs w:val="18"/>
        </w:rPr>
        <w:t xml:space="preserve">ns in fines. (If you need help, </w:t>
      </w:r>
      <w:r w:rsidRPr="00B10839">
        <w:rPr>
          <w:rFonts w:ascii="Verdana" w:hAnsi="Verdana"/>
          <w:sz w:val="18"/>
          <w:szCs w:val="18"/>
        </w:rPr>
        <w:t>I can assist with establishing proper policies</w:t>
      </w:r>
      <w:r>
        <w:rPr>
          <w:rFonts w:ascii="Verdana" w:hAnsi="Verdana"/>
          <w:sz w:val="18"/>
          <w:szCs w:val="18"/>
        </w:rPr>
        <w:t xml:space="preserve"> </w:t>
      </w:r>
      <w:r w:rsidRPr="00B10839">
        <w:rPr>
          <w:rFonts w:ascii="Verdana" w:hAnsi="Verdana"/>
          <w:sz w:val="18"/>
          <w:szCs w:val="18"/>
        </w:rPr>
        <w:t>and procedures.)</w:t>
      </w:r>
      <w:r>
        <w:rPr>
          <w:rFonts w:ascii="Verdana" w:hAnsi="Verdana"/>
          <w:sz w:val="18"/>
          <w:szCs w:val="18"/>
        </w:rPr>
        <w:br/>
      </w:r>
    </w:p>
    <w:p w:rsidR="00012571" w:rsidRPr="00B10839" w:rsidRDefault="00012571" w:rsidP="00012571">
      <w:pPr>
        <w:pStyle w:val="NoSpacing"/>
        <w:rPr>
          <w:rFonts w:ascii="Verdana" w:hAnsi="Verdana"/>
          <w:sz w:val="18"/>
          <w:szCs w:val="18"/>
        </w:rPr>
      </w:pPr>
      <w:r w:rsidRPr="00B10839">
        <w:rPr>
          <w:rFonts w:ascii="Verdana" w:hAnsi="Verdana"/>
          <w:sz w:val="18"/>
          <w:szCs w:val="18"/>
        </w:rPr>
        <w:t>AMCs—Get licensed. Stop trying to</w:t>
      </w:r>
      <w:r>
        <w:rPr>
          <w:rFonts w:ascii="Verdana" w:hAnsi="Verdana"/>
          <w:sz w:val="18"/>
          <w:szCs w:val="18"/>
        </w:rPr>
        <w:t xml:space="preserve"> </w:t>
      </w:r>
      <w:r w:rsidRPr="00B10839">
        <w:rPr>
          <w:rFonts w:ascii="Verdana" w:hAnsi="Verdana"/>
          <w:sz w:val="18"/>
          <w:szCs w:val="18"/>
        </w:rPr>
        <w:t xml:space="preserve">find fast </w:t>
      </w:r>
      <w:r>
        <w:rPr>
          <w:rFonts w:ascii="Verdana" w:hAnsi="Verdana"/>
          <w:sz w:val="18"/>
          <w:szCs w:val="18"/>
        </w:rPr>
        <w:t xml:space="preserve">and cheap. Pay appraisers their </w:t>
      </w:r>
      <w:r w:rsidRPr="00B10839">
        <w:rPr>
          <w:rFonts w:ascii="Verdana" w:hAnsi="Verdana"/>
          <w:sz w:val="18"/>
          <w:szCs w:val="18"/>
        </w:rPr>
        <w:t>full fee and demand high quality appraisals</w:t>
      </w:r>
      <w:r>
        <w:rPr>
          <w:rFonts w:ascii="Verdana" w:hAnsi="Verdana"/>
          <w:sz w:val="18"/>
          <w:szCs w:val="18"/>
        </w:rPr>
        <w:t xml:space="preserve"> </w:t>
      </w:r>
      <w:r w:rsidRPr="00B10839">
        <w:rPr>
          <w:rFonts w:ascii="Verdana" w:hAnsi="Verdana"/>
          <w:sz w:val="18"/>
          <w:szCs w:val="18"/>
        </w:rPr>
        <w:t>in return. AMCs that fail to do this</w:t>
      </w:r>
      <w:r>
        <w:rPr>
          <w:rFonts w:ascii="Verdana" w:hAnsi="Verdana"/>
          <w:sz w:val="18"/>
          <w:szCs w:val="18"/>
        </w:rPr>
        <w:t xml:space="preserve"> </w:t>
      </w:r>
      <w:r w:rsidRPr="00B10839">
        <w:rPr>
          <w:rFonts w:ascii="Verdana" w:hAnsi="Verdana"/>
          <w:sz w:val="18"/>
          <w:szCs w:val="18"/>
        </w:rPr>
        <w:t>are being</w:t>
      </w:r>
      <w:r>
        <w:rPr>
          <w:rFonts w:ascii="Verdana" w:hAnsi="Verdana"/>
          <w:sz w:val="18"/>
          <w:szCs w:val="18"/>
        </w:rPr>
        <w:t xml:space="preserve"> examined, fined and prohibited </w:t>
      </w:r>
      <w:r w:rsidRPr="00B10839">
        <w:rPr>
          <w:rFonts w:ascii="Verdana" w:hAnsi="Verdana"/>
          <w:sz w:val="18"/>
          <w:szCs w:val="18"/>
        </w:rPr>
        <w:t>from doing business in many states.</w:t>
      </w:r>
    </w:p>
    <w:p w:rsidR="00012571" w:rsidRPr="00B10839" w:rsidRDefault="00012571" w:rsidP="00012571">
      <w:pPr>
        <w:pStyle w:val="NoSpacing"/>
        <w:rPr>
          <w:rFonts w:ascii="Verdana" w:hAnsi="Verdana"/>
          <w:sz w:val="18"/>
          <w:szCs w:val="18"/>
        </w:rPr>
      </w:pPr>
      <w:r>
        <w:rPr>
          <w:rFonts w:ascii="Verdana" w:hAnsi="Verdana"/>
          <w:sz w:val="18"/>
          <w:szCs w:val="18"/>
        </w:rPr>
        <w:br/>
      </w:r>
      <w:r w:rsidRPr="00B10839">
        <w:rPr>
          <w:rFonts w:ascii="Verdana" w:hAnsi="Verdana"/>
          <w:sz w:val="18"/>
          <w:szCs w:val="18"/>
        </w:rPr>
        <w:t>Appraisers—Provide high quality</w:t>
      </w:r>
      <w:r>
        <w:rPr>
          <w:rFonts w:ascii="Verdana" w:hAnsi="Verdana"/>
          <w:sz w:val="18"/>
          <w:szCs w:val="18"/>
        </w:rPr>
        <w:t xml:space="preserve"> </w:t>
      </w:r>
      <w:r w:rsidRPr="00B10839">
        <w:rPr>
          <w:rFonts w:ascii="Verdana" w:hAnsi="Verdana"/>
          <w:sz w:val="18"/>
          <w:szCs w:val="18"/>
        </w:rPr>
        <w:t>appraisal</w:t>
      </w:r>
      <w:r>
        <w:rPr>
          <w:rFonts w:ascii="Verdana" w:hAnsi="Verdana"/>
          <w:sz w:val="18"/>
          <w:szCs w:val="18"/>
        </w:rPr>
        <w:t xml:space="preserve">s and support your adjustments. </w:t>
      </w:r>
      <w:r w:rsidRPr="00B10839">
        <w:rPr>
          <w:rFonts w:ascii="Verdana" w:hAnsi="Verdana"/>
          <w:sz w:val="18"/>
          <w:szCs w:val="18"/>
        </w:rPr>
        <w:t>Provide appraisal services in a polite,</w:t>
      </w:r>
      <w:r>
        <w:rPr>
          <w:rFonts w:ascii="Verdana" w:hAnsi="Verdana"/>
          <w:sz w:val="18"/>
          <w:szCs w:val="18"/>
        </w:rPr>
        <w:t xml:space="preserve"> </w:t>
      </w:r>
      <w:r w:rsidRPr="00B10839">
        <w:rPr>
          <w:rFonts w:ascii="Verdana" w:hAnsi="Verdana"/>
          <w:sz w:val="18"/>
          <w:szCs w:val="18"/>
        </w:rPr>
        <w:t>busine</w:t>
      </w:r>
      <w:r>
        <w:rPr>
          <w:rFonts w:ascii="Verdana" w:hAnsi="Verdana"/>
          <w:sz w:val="18"/>
          <w:szCs w:val="18"/>
        </w:rPr>
        <w:t xml:space="preserve">sslike manner and increase your </w:t>
      </w:r>
      <w:r w:rsidRPr="00B10839">
        <w:rPr>
          <w:rFonts w:ascii="Verdana" w:hAnsi="Verdana"/>
          <w:sz w:val="18"/>
          <w:szCs w:val="18"/>
        </w:rPr>
        <w:t>fees. Become a Tier 1 appraiser.</w:t>
      </w:r>
    </w:p>
    <w:p w:rsidR="00012571" w:rsidRDefault="00012571" w:rsidP="00012571">
      <w:pPr>
        <w:pStyle w:val="NoSpacing"/>
        <w:rPr>
          <w:rFonts w:ascii="Verdana" w:hAnsi="Verdana"/>
          <w:sz w:val="18"/>
          <w:szCs w:val="18"/>
        </w:rPr>
      </w:pPr>
      <w:r>
        <w:rPr>
          <w:rFonts w:ascii="Verdana" w:hAnsi="Verdana"/>
          <w:sz w:val="18"/>
          <w:szCs w:val="18"/>
        </w:rPr>
        <w:br/>
      </w:r>
      <w:r w:rsidRPr="00B10839">
        <w:rPr>
          <w:rFonts w:ascii="Verdana" w:hAnsi="Verdana"/>
          <w:sz w:val="18"/>
          <w:szCs w:val="18"/>
        </w:rPr>
        <w:t>The Time Has Come Today is a song by</w:t>
      </w:r>
      <w:r>
        <w:rPr>
          <w:rFonts w:ascii="Verdana" w:hAnsi="Verdana"/>
          <w:sz w:val="18"/>
          <w:szCs w:val="18"/>
        </w:rPr>
        <w:t xml:space="preserve"> </w:t>
      </w:r>
      <w:r w:rsidRPr="00B10839">
        <w:rPr>
          <w:rFonts w:ascii="Verdana" w:hAnsi="Verdana"/>
          <w:sz w:val="18"/>
          <w:szCs w:val="18"/>
        </w:rPr>
        <w:t>th</w:t>
      </w:r>
      <w:r>
        <w:rPr>
          <w:rFonts w:ascii="Verdana" w:hAnsi="Verdana"/>
          <w:sz w:val="18"/>
          <w:szCs w:val="18"/>
        </w:rPr>
        <w:t xml:space="preserve">e Chambers Brothers circa 1966. </w:t>
      </w:r>
      <w:r w:rsidRPr="00B10839">
        <w:rPr>
          <w:rFonts w:ascii="Verdana" w:hAnsi="Verdana"/>
          <w:sz w:val="18"/>
          <w:szCs w:val="18"/>
        </w:rPr>
        <w:t>Give it a listen because this business</w:t>
      </w:r>
      <w:r>
        <w:rPr>
          <w:rFonts w:ascii="Verdana" w:hAnsi="Verdana"/>
          <w:sz w:val="18"/>
          <w:szCs w:val="18"/>
        </w:rPr>
        <w:t xml:space="preserve"> </w:t>
      </w:r>
      <w:r w:rsidRPr="00B10839">
        <w:rPr>
          <w:rFonts w:ascii="Verdana" w:hAnsi="Verdana"/>
          <w:sz w:val="18"/>
          <w:szCs w:val="18"/>
        </w:rPr>
        <w:t>will get better.</w:t>
      </w:r>
    </w:p>
    <w:p w:rsidR="00012571" w:rsidRDefault="00012571" w:rsidP="00012571">
      <w:pPr>
        <w:pStyle w:val="NoSpacing"/>
        <w:rPr>
          <w:rFonts w:ascii="Verdana" w:hAnsi="Verdana"/>
          <w:sz w:val="18"/>
          <w:szCs w:val="18"/>
        </w:rPr>
      </w:pPr>
    </w:p>
    <w:p w:rsidR="00012571" w:rsidRPr="00B10839" w:rsidRDefault="00012571" w:rsidP="00012571">
      <w:pPr>
        <w:pStyle w:val="NoSpacing"/>
        <w:rPr>
          <w:rFonts w:ascii="Verdana" w:hAnsi="Verdana"/>
          <w:sz w:val="18"/>
          <w:szCs w:val="18"/>
        </w:rPr>
      </w:pPr>
    </w:p>
    <w:p w:rsidR="00012571" w:rsidRDefault="00012571" w:rsidP="00012571">
      <w:pPr>
        <w:pStyle w:val="NoSpacing"/>
        <w:rPr>
          <w:rFonts w:ascii="Verdana" w:hAnsi="Verdana"/>
          <w:sz w:val="18"/>
          <w:szCs w:val="18"/>
        </w:rPr>
      </w:pPr>
      <w:r w:rsidRPr="001B1BA2">
        <w:rPr>
          <w:rFonts w:ascii="Verdana" w:hAnsi="Verdana"/>
          <w:b/>
          <w:bCs/>
          <w:sz w:val="18"/>
          <w:szCs w:val="18"/>
        </w:rPr>
        <w:t>About the Author</w:t>
      </w:r>
      <w:r w:rsidRPr="00B10839">
        <w:rPr>
          <w:rFonts w:ascii="Verdana" w:hAnsi="Verdana"/>
          <w:sz w:val="18"/>
          <w:szCs w:val="18"/>
        </w:rPr>
        <w:br/>
      </w:r>
      <w:r w:rsidRPr="001B1BA2">
        <w:rPr>
          <w:rFonts w:ascii="Verdana" w:hAnsi="Verdana"/>
          <w:sz w:val="18"/>
          <w:szCs w:val="18"/>
        </w:rPr>
        <w:t>Richard Hagar, SRA is an educator, author and owner of a bus</w:t>
      </w:r>
      <w:r>
        <w:rPr>
          <w:rFonts w:ascii="Verdana" w:hAnsi="Verdana"/>
          <w:sz w:val="18"/>
          <w:szCs w:val="18"/>
        </w:rPr>
        <w:t xml:space="preserve">y appraisal office in the state </w:t>
      </w:r>
      <w:r w:rsidRPr="001B1BA2">
        <w:rPr>
          <w:rFonts w:ascii="Verdana" w:hAnsi="Verdana"/>
          <w:sz w:val="18"/>
          <w:szCs w:val="18"/>
        </w:rPr>
        <w:t>of Washington. Hagar now offers his legendary adjustments course for CE credit in over 30</w:t>
      </w:r>
      <w:r>
        <w:rPr>
          <w:rFonts w:ascii="Verdana" w:hAnsi="Verdana"/>
          <w:sz w:val="18"/>
          <w:szCs w:val="18"/>
        </w:rPr>
        <w:t xml:space="preserve"> </w:t>
      </w:r>
      <w:r w:rsidRPr="001B1BA2">
        <w:rPr>
          <w:rFonts w:ascii="Verdana" w:hAnsi="Verdana"/>
          <w:sz w:val="18"/>
          <w:szCs w:val="18"/>
        </w:rPr>
        <w:t>states through OREPEducation.org. The new 7-hour online CE course How to Support and</w:t>
      </w:r>
      <w:r>
        <w:rPr>
          <w:rFonts w:ascii="Verdana" w:hAnsi="Verdana"/>
          <w:sz w:val="18"/>
          <w:szCs w:val="18"/>
        </w:rPr>
        <w:t xml:space="preserve"> </w:t>
      </w:r>
      <w:r w:rsidRPr="001B1BA2">
        <w:rPr>
          <w:rFonts w:ascii="Verdana" w:hAnsi="Verdana"/>
          <w:sz w:val="18"/>
          <w:szCs w:val="18"/>
        </w:rPr>
        <w:t>Prove Yo</w:t>
      </w:r>
      <w:r>
        <w:rPr>
          <w:rFonts w:ascii="Verdana" w:hAnsi="Verdana"/>
          <w:sz w:val="18"/>
          <w:szCs w:val="18"/>
        </w:rPr>
        <w:t>ur Adjustments shows appraisers</w:t>
      </w:r>
      <w:r w:rsidRPr="001B1BA2">
        <w:rPr>
          <w:rFonts w:ascii="Verdana" w:hAnsi="Verdana"/>
          <w:sz w:val="18"/>
          <w:szCs w:val="18"/>
        </w:rPr>
        <w:t xml:space="preserve"> proven methods for supporting adjustments. Learn</w:t>
      </w:r>
      <w:r>
        <w:rPr>
          <w:rFonts w:ascii="Verdana" w:hAnsi="Verdana"/>
          <w:sz w:val="18"/>
          <w:szCs w:val="18"/>
        </w:rPr>
        <w:t xml:space="preserve"> </w:t>
      </w:r>
      <w:r w:rsidRPr="001B1BA2">
        <w:rPr>
          <w:rFonts w:ascii="Verdana" w:hAnsi="Verdana"/>
          <w:sz w:val="18"/>
          <w:szCs w:val="18"/>
        </w:rPr>
        <w:t>how to improve the quality of your reports and defend your adjustments! OREP members</w:t>
      </w:r>
      <w:r>
        <w:rPr>
          <w:rFonts w:ascii="Verdana" w:hAnsi="Verdana"/>
          <w:sz w:val="18"/>
          <w:szCs w:val="18"/>
        </w:rPr>
        <w:t xml:space="preserve"> </w:t>
      </w:r>
      <w:r w:rsidRPr="001B1BA2">
        <w:rPr>
          <w:rFonts w:ascii="Verdana" w:hAnsi="Verdana"/>
          <w:sz w:val="18"/>
          <w:szCs w:val="18"/>
        </w:rPr>
        <w:t xml:space="preserve">save on this approved coursework. Sign up today at </w:t>
      </w:r>
      <w:hyperlink r:id="rId10" w:history="1">
        <w:r w:rsidRPr="00305AD5">
          <w:rPr>
            <w:rStyle w:val="Hyperlink"/>
            <w:rFonts w:ascii="Verdana" w:hAnsi="Verdana"/>
            <w:sz w:val="18"/>
            <w:szCs w:val="18"/>
          </w:rPr>
          <w:t>www.OREPEducation.org</w:t>
        </w:r>
      </w:hyperlink>
      <w:r w:rsidRPr="001B1BA2">
        <w:rPr>
          <w:rFonts w:ascii="Verdana" w:hAnsi="Verdana"/>
          <w:sz w:val="18"/>
          <w:szCs w:val="18"/>
        </w:rPr>
        <w:t>.</w:t>
      </w:r>
    </w:p>
    <w:p w:rsidR="00A968CC" w:rsidRDefault="00A968CC" w:rsidP="00C8697E">
      <w:pPr>
        <w:rPr>
          <w:rFonts w:ascii="Verdana" w:hAnsi="Verdana" w:cs="Times New Roman"/>
          <w:sz w:val="18"/>
          <w:szCs w:val="18"/>
        </w:rPr>
      </w:pPr>
    </w:p>
    <w:p w:rsidR="00A968CC" w:rsidRDefault="00A968CC" w:rsidP="00C8697E">
      <w:pPr>
        <w:rPr>
          <w:rFonts w:ascii="Verdana" w:hAnsi="Verdana" w:cs="Times New Roman"/>
          <w:sz w:val="18"/>
          <w:szCs w:val="18"/>
        </w:rPr>
      </w:pPr>
    </w:p>
    <w:p w:rsidR="00A968CC" w:rsidRDefault="006E02D6" w:rsidP="00C8697E">
      <w:pPr>
        <w:rPr>
          <w:rFonts w:ascii="Verdana" w:hAnsi="Verdana" w:cs="Times New Roman"/>
          <w:sz w:val="18"/>
          <w:szCs w:val="18"/>
        </w:rPr>
      </w:pPr>
      <w:r>
        <w:rPr>
          <w:noProof/>
          <w:color w:val="000080"/>
        </w:rPr>
        <w:drawing>
          <wp:inline distT="0" distB="0" distL="0" distR="0">
            <wp:extent cx="5943600" cy="1485900"/>
            <wp:effectExtent l="0" t="0" r="0" b="0"/>
            <wp:docPr id="1" name="Picture 1" descr="http://orep.org/wp-content/uploads/2016/05/comergence-800x200-FINAL.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rep.org/wp-content/uploads/2016/05/comergence-800x200-FINAL.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485900"/>
                    </a:xfrm>
                    <a:prstGeom prst="rect">
                      <a:avLst/>
                    </a:prstGeom>
                    <a:noFill/>
                    <a:ln>
                      <a:noFill/>
                    </a:ln>
                  </pic:spPr>
                </pic:pic>
              </a:graphicData>
            </a:graphic>
          </wp:inline>
        </w:drawing>
      </w:r>
    </w:p>
    <w:p w:rsidR="006E02D6" w:rsidRDefault="006E02D6" w:rsidP="009F6ECF">
      <w:pPr>
        <w:spacing w:after="0" w:line="240" w:lineRule="auto"/>
      </w:pPr>
      <w:hyperlink r:id="rId13" w:history="1">
        <w:r w:rsidRPr="00305AD5">
          <w:rPr>
            <w:rStyle w:val="Hyperlink"/>
          </w:rPr>
          <w:t>www.comergencecompliance.com/wre</w:t>
        </w:r>
      </w:hyperlink>
    </w:p>
    <w:p w:rsidR="00A968CC" w:rsidRDefault="006E02D6" w:rsidP="009F6ECF">
      <w:pPr>
        <w:spacing w:after="0" w:line="240" w:lineRule="auto"/>
        <w:rPr>
          <w:rFonts w:ascii="Verdana" w:hAnsi="Verdana"/>
          <w:sz w:val="18"/>
          <w:szCs w:val="18"/>
        </w:rPr>
      </w:pPr>
      <w:r w:rsidRPr="006E02D6">
        <w:lastRenderedPageBreak/>
        <w:t xml:space="preserve"> </w:t>
      </w:r>
      <w:r>
        <w:t xml:space="preserve">  </w:t>
      </w:r>
      <w:r w:rsidR="00A968CC">
        <w:rPr>
          <w:rFonts w:ascii="Verdana" w:hAnsi="Verdana"/>
          <w:i/>
          <w:iCs/>
          <w:noProof/>
          <w:color w:val="000080"/>
          <w:sz w:val="16"/>
          <w:szCs w:val="16"/>
        </w:rPr>
        <w:drawing>
          <wp:inline distT="0" distB="0" distL="0" distR="0">
            <wp:extent cx="4667250" cy="4162425"/>
            <wp:effectExtent l="0" t="0" r="0" b="9525"/>
            <wp:docPr id="13" name="Picture 13" descr="http://orep.org/wp-content/uploads/2016/04/Adjustment-Ad.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rep.org/wp-content/uploads/2016/04/Adjustment-Ad.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67250" cy="4162425"/>
                    </a:xfrm>
                    <a:prstGeom prst="rect">
                      <a:avLst/>
                    </a:prstGeom>
                    <a:noFill/>
                    <a:ln>
                      <a:noFill/>
                    </a:ln>
                  </pic:spPr>
                </pic:pic>
              </a:graphicData>
            </a:graphic>
          </wp:inline>
        </w:drawing>
      </w:r>
    </w:p>
    <w:p w:rsidR="00A968CC" w:rsidRDefault="00916E18" w:rsidP="009F6ECF">
      <w:pPr>
        <w:spacing w:after="0" w:line="240" w:lineRule="auto"/>
        <w:rPr>
          <w:rFonts w:ascii="Verdana" w:hAnsi="Verdana"/>
          <w:sz w:val="18"/>
          <w:szCs w:val="18"/>
        </w:rPr>
      </w:pPr>
      <w:hyperlink r:id="rId16" w:history="1">
        <w:r w:rsidR="00A968CC" w:rsidRPr="00FB5CFE">
          <w:rPr>
            <w:rStyle w:val="Hyperlink"/>
            <w:rFonts w:ascii="Verdana" w:hAnsi="Verdana"/>
            <w:sz w:val="18"/>
            <w:szCs w:val="18"/>
          </w:rPr>
          <w:t>http://orepeducation.org/how-to-support-and-prove-your-adjustments/</w:t>
        </w:r>
      </w:hyperlink>
    </w:p>
    <w:p w:rsidR="00A968CC" w:rsidRDefault="00A968CC" w:rsidP="009F6ECF">
      <w:pPr>
        <w:spacing w:after="0" w:line="240" w:lineRule="auto"/>
        <w:rPr>
          <w:rFonts w:ascii="Verdana" w:hAnsi="Verdana"/>
          <w:sz w:val="18"/>
          <w:szCs w:val="18"/>
        </w:rPr>
      </w:pPr>
    </w:p>
    <w:p w:rsidR="00A968CC" w:rsidRDefault="00A968CC" w:rsidP="009F6ECF">
      <w:pPr>
        <w:spacing w:after="0" w:line="240" w:lineRule="auto"/>
        <w:rPr>
          <w:rFonts w:ascii="Verdana" w:hAnsi="Verdana"/>
          <w:sz w:val="18"/>
          <w:szCs w:val="18"/>
        </w:rPr>
      </w:pPr>
    </w:p>
    <w:p w:rsidR="009F6ECF" w:rsidRPr="007F1326" w:rsidRDefault="009F6ECF" w:rsidP="009F6ECF">
      <w:pPr>
        <w:spacing w:after="0" w:line="240" w:lineRule="auto"/>
        <w:rPr>
          <w:rFonts w:ascii="Verdana" w:hAnsi="Verdana" w:cs="Times New Roman"/>
          <w:sz w:val="18"/>
          <w:szCs w:val="18"/>
        </w:rPr>
      </w:pPr>
      <w:r w:rsidRPr="007F1326">
        <w:rPr>
          <w:rFonts w:ascii="Verdana" w:hAnsi="Verdana"/>
          <w:i/>
          <w:iCs/>
          <w:noProof/>
          <w:color w:val="000080"/>
          <w:sz w:val="18"/>
          <w:szCs w:val="18"/>
        </w:rPr>
        <w:drawing>
          <wp:inline distT="0" distB="0" distL="0" distR="0" wp14:anchorId="4928B47D" wp14:editId="39A0EDF0">
            <wp:extent cx="4371975" cy="2857500"/>
            <wp:effectExtent l="0" t="0" r="9525" b="0"/>
            <wp:docPr id="5" name="Picture 5" descr="http://orep.org/wp-content/uploads/2015/09/orep-ad-appraisers_2.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orep.org/wp-content/uploads/2015/09/orep-ad-appraisers_2.jp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71975" cy="2857500"/>
                    </a:xfrm>
                    <a:prstGeom prst="rect">
                      <a:avLst/>
                    </a:prstGeom>
                    <a:noFill/>
                    <a:ln>
                      <a:noFill/>
                    </a:ln>
                  </pic:spPr>
                </pic:pic>
              </a:graphicData>
            </a:graphic>
          </wp:inline>
        </w:drawing>
      </w:r>
    </w:p>
    <w:p w:rsidR="009F6ECF" w:rsidRPr="007F1326" w:rsidRDefault="00916E18" w:rsidP="009F6ECF">
      <w:pPr>
        <w:spacing w:after="0" w:line="240" w:lineRule="auto"/>
        <w:rPr>
          <w:rStyle w:val="Hyperlink"/>
          <w:rFonts w:ascii="Verdana" w:hAnsi="Verdana" w:cs="Times New Roman"/>
          <w:sz w:val="18"/>
          <w:szCs w:val="18"/>
        </w:rPr>
      </w:pPr>
      <w:hyperlink r:id="rId19" w:history="1">
        <w:r w:rsidR="009F6ECF" w:rsidRPr="007F1326">
          <w:rPr>
            <w:rStyle w:val="Hyperlink"/>
            <w:rFonts w:ascii="Verdana" w:hAnsi="Verdana" w:cs="Times New Roman"/>
            <w:sz w:val="18"/>
            <w:szCs w:val="18"/>
          </w:rPr>
          <w:t>http://orep.org/appraisers-eo-insurance/</w:t>
        </w:r>
      </w:hyperlink>
      <w:r w:rsidR="009F6ECF" w:rsidRPr="007F1326">
        <w:rPr>
          <w:rStyle w:val="Hyperlink"/>
          <w:rFonts w:ascii="Verdana" w:hAnsi="Verdana" w:cs="Times New Roman"/>
          <w:sz w:val="18"/>
          <w:szCs w:val="18"/>
        </w:rPr>
        <w:br/>
      </w:r>
    </w:p>
    <w:p w:rsidR="00A968CC" w:rsidRDefault="00A968CC" w:rsidP="00A968CC">
      <w:pPr>
        <w:spacing w:after="0" w:line="240" w:lineRule="auto"/>
      </w:pPr>
      <w:r>
        <w:rPr>
          <w:noProof/>
          <w:color w:val="000080"/>
        </w:rPr>
        <w:lastRenderedPageBreak/>
        <w:drawing>
          <wp:inline distT="0" distB="0" distL="0" distR="0">
            <wp:extent cx="2381250" cy="5429250"/>
            <wp:effectExtent l="0" t="0" r="0" b="0"/>
            <wp:docPr id="14" name="Picture 14" descr="http://orep.org/wp-content/uploads/2016/05/DesDiff1_250x570_v0.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orep.org/wp-content/uploads/2016/05/DesDiff1_250x570_v0.jp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81250" cy="5429250"/>
                    </a:xfrm>
                    <a:prstGeom prst="rect">
                      <a:avLst/>
                    </a:prstGeom>
                    <a:noFill/>
                    <a:ln>
                      <a:noFill/>
                    </a:ln>
                  </pic:spPr>
                </pic:pic>
              </a:graphicData>
            </a:graphic>
          </wp:inline>
        </w:drawing>
      </w:r>
    </w:p>
    <w:p w:rsidR="00A968CC" w:rsidRDefault="00916E18" w:rsidP="00A968CC">
      <w:pPr>
        <w:spacing w:after="0" w:line="240" w:lineRule="auto"/>
      </w:pPr>
      <w:hyperlink r:id="rId22" w:history="1">
        <w:r w:rsidR="00A968CC" w:rsidRPr="00FB5CFE">
          <w:rPr>
            <w:rStyle w:val="Hyperlink"/>
          </w:rPr>
          <w:t>http://www.appraisalinstitute.org/ai-designations/</w:t>
        </w:r>
      </w:hyperlink>
    </w:p>
    <w:p w:rsidR="009F6ECF" w:rsidRDefault="00A968CC" w:rsidP="00A968CC">
      <w:pPr>
        <w:spacing w:after="0" w:line="240" w:lineRule="auto"/>
      </w:pPr>
      <w:r>
        <w:t xml:space="preserve"> </w:t>
      </w:r>
    </w:p>
    <w:p w:rsidR="009F6ECF" w:rsidRDefault="009F6ECF" w:rsidP="009F6ECF">
      <w:pPr>
        <w:spacing w:after="0" w:line="240" w:lineRule="auto"/>
      </w:pPr>
    </w:p>
    <w:p w:rsidR="009F6ECF" w:rsidRDefault="00A968CC" w:rsidP="00A968CC">
      <w:pPr>
        <w:spacing w:after="0" w:line="240" w:lineRule="auto"/>
        <w:rPr>
          <w:rFonts w:ascii="Verdana" w:hAnsi="Verdana"/>
          <w:sz w:val="18"/>
          <w:szCs w:val="18"/>
        </w:rPr>
      </w:pPr>
      <w:r>
        <w:rPr>
          <w:noProof/>
          <w:color w:val="000080"/>
        </w:rPr>
        <w:lastRenderedPageBreak/>
        <w:drawing>
          <wp:inline distT="0" distB="0" distL="0" distR="0">
            <wp:extent cx="2476500" cy="5715000"/>
            <wp:effectExtent l="0" t="0" r="0" b="0"/>
            <wp:docPr id="15" name="Picture 15" descr="http://www.workingre.com/wp-content/uploads/2016/01/0116-AMC_Ad.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workingre.com/wp-content/uploads/2016/01/0116-AMC_Ad.pn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76500" cy="5715000"/>
                    </a:xfrm>
                    <a:prstGeom prst="rect">
                      <a:avLst/>
                    </a:prstGeom>
                    <a:noFill/>
                    <a:ln>
                      <a:noFill/>
                    </a:ln>
                  </pic:spPr>
                </pic:pic>
              </a:graphicData>
            </a:graphic>
          </wp:inline>
        </w:drawing>
      </w:r>
      <w:r>
        <w:rPr>
          <w:rFonts w:ascii="Verdana" w:hAnsi="Verdana"/>
          <w:sz w:val="18"/>
          <w:szCs w:val="18"/>
        </w:rPr>
        <w:br/>
      </w:r>
      <w:hyperlink r:id="rId25" w:history="1">
        <w:r w:rsidRPr="00FB5CFE">
          <w:rPr>
            <w:rStyle w:val="Hyperlink"/>
            <w:rFonts w:ascii="Verdana" w:hAnsi="Verdana"/>
            <w:sz w:val="18"/>
            <w:szCs w:val="18"/>
          </w:rPr>
          <w:t>http://www.workingre.com/wp-content/uploads/2016/01/0116-AMC_Ad.png</w:t>
        </w:r>
      </w:hyperlink>
    </w:p>
    <w:p w:rsidR="00A968CC" w:rsidRDefault="00A968CC" w:rsidP="00A968CC">
      <w:pPr>
        <w:spacing w:after="0" w:line="240" w:lineRule="auto"/>
        <w:rPr>
          <w:rFonts w:ascii="Verdana" w:hAnsi="Verdana"/>
          <w:sz w:val="18"/>
          <w:szCs w:val="18"/>
        </w:rPr>
      </w:pPr>
    </w:p>
    <w:p w:rsidR="009F6ECF" w:rsidRPr="00FF0BD6" w:rsidRDefault="009F6ECF" w:rsidP="00C8697E">
      <w:pPr>
        <w:rPr>
          <w:rFonts w:ascii="Verdana" w:hAnsi="Verdana" w:cs="Times New Roman"/>
          <w:sz w:val="18"/>
          <w:szCs w:val="18"/>
        </w:rPr>
      </w:pPr>
    </w:p>
    <w:sectPr w:rsidR="009F6ECF" w:rsidRPr="00FF0BD6" w:rsidSect="000741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452" w:rsidRDefault="00F13452" w:rsidP="00882DC5">
      <w:pPr>
        <w:spacing w:after="0" w:line="240" w:lineRule="auto"/>
      </w:pPr>
      <w:r>
        <w:separator/>
      </w:r>
    </w:p>
  </w:endnote>
  <w:endnote w:type="continuationSeparator" w:id="0">
    <w:p w:rsidR="00F13452" w:rsidRDefault="00F13452" w:rsidP="00882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452" w:rsidRDefault="00F13452" w:rsidP="00882DC5">
      <w:pPr>
        <w:spacing w:after="0" w:line="240" w:lineRule="auto"/>
      </w:pPr>
      <w:r>
        <w:separator/>
      </w:r>
    </w:p>
  </w:footnote>
  <w:footnote w:type="continuationSeparator" w:id="0">
    <w:p w:rsidR="00F13452" w:rsidRDefault="00F13452" w:rsidP="00882D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7EE"/>
    <w:rsid w:val="00012571"/>
    <w:rsid w:val="00013E4D"/>
    <w:rsid w:val="0003580F"/>
    <w:rsid w:val="00053AA7"/>
    <w:rsid w:val="00074149"/>
    <w:rsid w:val="000A5495"/>
    <w:rsid w:val="000D1E05"/>
    <w:rsid w:val="000D7FA5"/>
    <w:rsid w:val="000F7B61"/>
    <w:rsid w:val="00227C0D"/>
    <w:rsid w:val="002450D5"/>
    <w:rsid w:val="00252297"/>
    <w:rsid w:val="00260BFB"/>
    <w:rsid w:val="00295854"/>
    <w:rsid w:val="002C46C4"/>
    <w:rsid w:val="002E18F8"/>
    <w:rsid w:val="003105DB"/>
    <w:rsid w:val="004055D1"/>
    <w:rsid w:val="00412F24"/>
    <w:rsid w:val="0043786F"/>
    <w:rsid w:val="00447A63"/>
    <w:rsid w:val="00475A34"/>
    <w:rsid w:val="00482214"/>
    <w:rsid w:val="0054291D"/>
    <w:rsid w:val="0057625D"/>
    <w:rsid w:val="005B3388"/>
    <w:rsid w:val="005E3D18"/>
    <w:rsid w:val="006077EE"/>
    <w:rsid w:val="00674D3E"/>
    <w:rsid w:val="006A6EBF"/>
    <w:rsid w:val="006B3E7C"/>
    <w:rsid w:val="006D25FC"/>
    <w:rsid w:val="006E02D6"/>
    <w:rsid w:val="00705F64"/>
    <w:rsid w:val="00740393"/>
    <w:rsid w:val="007A6E1B"/>
    <w:rsid w:val="007B3E4A"/>
    <w:rsid w:val="007E28E6"/>
    <w:rsid w:val="00826857"/>
    <w:rsid w:val="00850C3B"/>
    <w:rsid w:val="008525B1"/>
    <w:rsid w:val="00880177"/>
    <w:rsid w:val="00882DC5"/>
    <w:rsid w:val="00893D01"/>
    <w:rsid w:val="008E3D72"/>
    <w:rsid w:val="008E445A"/>
    <w:rsid w:val="00916E18"/>
    <w:rsid w:val="00931376"/>
    <w:rsid w:val="00973A13"/>
    <w:rsid w:val="00996DE6"/>
    <w:rsid w:val="009F6ECF"/>
    <w:rsid w:val="00A4733A"/>
    <w:rsid w:val="00A968CC"/>
    <w:rsid w:val="00AB4ADA"/>
    <w:rsid w:val="00B02BFD"/>
    <w:rsid w:val="00BB318E"/>
    <w:rsid w:val="00BE6725"/>
    <w:rsid w:val="00BE7B99"/>
    <w:rsid w:val="00C25DEC"/>
    <w:rsid w:val="00C8697E"/>
    <w:rsid w:val="00CC337D"/>
    <w:rsid w:val="00D4432B"/>
    <w:rsid w:val="00D96B56"/>
    <w:rsid w:val="00DB6D57"/>
    <w:rsid w:val="00DC3A3F"/>
    <w:rsid w:val="00E02C8E"/>
    <w:rsid w:val="00E44F49"/>
    <w:rsid w:val="00E738E7"/>
    <w:rsid w:val="00E94320"/>
    <w:rsid w:val="00ED40F8"/>
    <w:rsid w:val="00F11762"/>
    <w:rsid w:val="00F13452"/>
    <w:rsid w:val="00F27ACE"/>
    <w:rsid w:val="00F50204"/>
    <w:rsid w:val="00F5582D"/>
    <w:rsid w:val="00F71F6E"/>
    <w:rsid w:val="00F90D28"/>
    <w:rsid w:val="00FC4104"/>
    <w:rsid w:val="00FC6940"/>
    <w:rsid w:val="00FC7A10"/>
    <w:rsid w:val="00FF0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1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C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C0D"/>
    <w:rPr>
      <w:rFonts w:ascii="Tahoma" w:hAnsi="Tahoma" w:cs="Tahoma"/>
      <w:sz w:val="16"/>
      <w:szCs w:val="16"/>
    </w:rPr>
  </w:style>
  <w:style w:type="paragraph" w:styleId="Caption">
    <w:name w:val="caption"/>
    <w:basedOn w:val="Normal"/>
    <w:next w:val="Normal"/>
    <w:uiPriority w:val="35"/>
    <w:unhideWhenUsed/>
    <w:qFormat/>
    <w:rsid w:val="00227C0D"/>
    <w:pPr>
      <w:spacing w:line="240" w:lineRule="auto"/>
    </w:pPr>
    <w:rPr>
      <w:b/>
      <w:bCs/>
      <w:color w:val="4F81BD" w:themeColor="accent1"/>
      <w:sz w:val="18"/>
      <w:szCs w:val="18"/>
    </w:rPr>
  </w:style>
  <w:style w:type="paragraph" w:styleId="FootnoteText">
    <w:name w:val="footnote text"/>
    <w:basedOn w:val="Normal"/>
    <w:link w:val="FootnoteTextChar"/>
    <w:uiPriority w:val="99"/>
    <w:semiHidden/>
    <w:unhideWhenUsed/>
    <w:rsid w:val="00882D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2DC5"/>
    <w:rPr>
      <w:sz w:val="20"/>
      <w:szCs w:val="20"/>
    </w:rPr>
  </w:style>
  <w:style w:type="character" w:styleId="FootnoteReference">
    <w:name w:val="footnote reference"/>
    <w:basedOn w:val="DefaultParagraphFont"/>
    <w:uiPriority w:val="99"/>
    <w:semiHidden/>
    <w:unhideWhenUsed/>
    <w:rsid w:val="00882DC5"/>
    <w:rPr>
      <w:vertAlign w:val="superscript"/>
    </w:rPr>
  </w:style>
  <w:style w:type="paragraph" w:styleId="NoSpacing">
    <w:name w:val="No Spacing"/>
    <w:uiPriority w:val="1"/>
    <w:qFormat/>
    <w:rsid w:val="00FF0BD6"/>
    <w:pPr>
      <w:spacing w:after="0" w:line="240" w:lineRule="auto"/>
    </w:pPr>
    <w:rPr>
      <w:sz w:val="22"/>
      <w:szCs w:val="22"/>
    </w:rPr>
  </w:style>
  <w:style w:type="character" w:styleId="Hyperlink">
    <w:name w:val="Hyperlink"/>
    <w:basedOn w:val="DefaultParagraphFont"/>
    <w:uiPriority w:val="99"/>
    <w:unhideWhenUsed/>
    <w:rsid w:val="009F6EC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1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C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C0D"/>
    <w:rPr>
      <w:rFonts w:ascii="Tahoma" w:hAnsi="Tahoma" w:cs="Tahoma"/>
      <w:sz w:val="16"/>
      <w:szCs w:val="16"/>
    </w:rPr>
  </w:style>
  <w:style w:type="paragraph" w:styleId="Caption">
    <w:name w:val="caption"/>
    <w:basedOn w:val="Normal"/>
    <w:next w:val="Normal"/>
    <w:uiPriority w:val="35"/>
    <w:unhideWhenUsed/>
    <w:qFormat/>
    <w:rsid w:val="00227C0D"/>
    <w:pPr>
      <w:spacing w:line="240" w:lineRule="auto"/>
    </w:pPr>
    <w:rPr>
      <w:b/>
      <w:bCs/>
      <w:color w:val="4F81BD" w:themeColor="accent1"/>
      <w:sz w:val="18"/>
      <w:szCs w:val="18"/>
    </w:rPr>
  </w:style>
  <w:style w:type="paragraph" w:styleId="FootnoteText">
    <w:name w:val="footnote text"/>
    <w:basedOn w:val="Normal"/>
    <w:link w:val="FootnoteTextChar"/>
    <w:uiPriority w:val="99"/>
    <w:semiHidden/>
    <w:unhideWhenUsed/>
    <w:rsid w:val="00882D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2DC5"/>
    <w:rPr>
      <w:sz w:val="20"/>
      <w:szCs w:val="20"/>
    </w:rPr>
  </w:style>
  <w:style w:type="character" w:styleId="FootnoteReference">
    <w:name w:val="footnote reference"/>
    <w:basedOn w:val="DefaultParagraphFont"/>
    <w:uiPriority w:val="99"/>
    <w:semiHidden/>
    <w:unhideWhenUsed/>
    <w:rsid w:val="00882DC5"/>
    <w:rPr>
      <w:vertAlign w:val="superscript"/>
    </w:rPr>
  </w:style>
  <w:style w:type="paragraph" w:styleId="NoSpacing">
    <w:name w:val="No Spacing"/>
    <w:uiPriority w:val="1"/>
    <w:qFormat/>
    <w:rsid w:val="00FF0BD6"/>
    <w:pPr>
      <w:spacing w:after="0" w:line="240" w:lineRule="auto"/>
    </w:pPr>
    <w:rPr>
      <w:sz w:val="22"/>
      <w:szCs w:val="22"/>
    </w:rPr>
  </w:style>
  <w:style w:type="character" w:styleId="Hyperlink">
    <w:name w:val="Hyperlink"/>
    <w:basedOn w:val="DefaultParagraphFont"/>
    <w:uiPriority w:val="99"/>
    <w:unhideWhenUsed/>
    <w:rsid w:val="009F6E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orkingre.com/" TargetMode="External"/><Relationship Id="rId13" Type="http://schemas.openxmlformats.org/officeDocument/2006/relationships/hyperlink" Target="http://www.comergencecompliance.com/wre" TargetMode="External"/><Relationship Id="rId18" Type="http://schemas.openxmlformats.org/officeDocument/2006/relationships/image" Target="media/image4.jpe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orep.org/appraisers-eo-insurance/" TargetMode="External"/><Relationship Id="rId25" Type="http://schemas.openxmlformats.org/officeDocument/2006/relationships/hyperlink" Target="http://www.workingre.com/wp-content/uploads/2016/01/0116-AMC_Ad.png" TargetMode="External"/><Relationship Id="rId2" Type="http://schemas.openxmlformats.org/officeDocument/2006/relationships/styles" Target="styles.xml"/><Relationship Id="rId16" Type="http://schemas.openxmlformats.org/officeDocument/2006/relationships/hyperlink" Target="http://orepeducation.org/how-to-support-and-prove-your-adjustments/" TargetMode="External"/><Relationship Id="rId20" Type="http://schemas.openxmlformats.org/officeDocument/2006/relationships/hyperlink" Target="http://www.appraisalinstitute.org/ai-design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server\Working%20RE\workingre-new\wreonline%20newsletters\www.comergencecompliance.com\wre%20" TargetMode="Externa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http://www.workingre.com/amc-resource-guide/" TargetMode="External"/><Relationship Id="rId10" Type="http://schemas.openxmlformats.org/officeDocument/2006/relationships/hyperlink" Target="http://www.OREPEducation.org" TargetMode="External"/><Relationship Id="rId19" Type="http://schemas.openxmlformats.org/officeDocument/2006/relationships/hyperlink" Target="http://orep.org/appraisers-eo-insurance/"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orepeducation.org/how-to-support-and-prove-your-adjustments/" TargetMode="External"/><Relationship Id="rId22" Type="http://schemas.openxmlformats.org/officeDocument/2006/relationships/hyperlink" Target="http://www.appraisalinstitute.org/ai-designation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91ECFE-77BD-4D9C-8D02-94DFF7877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1375</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dc:creator>
  <cp:lastModifiedBy>Maria</cp:lastModifiedBy>
  <cp:revision>3</cp:revision>
  <dcterms:created xsi:type="dcterms:W3CDTF">2016-06-06T19:04:00Z</dcterms:created>
  <dcterms:modified xsi:type="dcterms:W3CDTF">2016-06-06T19:24:00Z</dcterms:modified>
</cp:coreProperties>
</file>