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926340">
        <w:rPr>
          <w:rFonts w:ascii="Verdana" w:hAnsi="Verdana"/>
          <w:b/>
          <w:bCs/>
          <w:color w:val="6633CC"/>
          <w:sz w:val="18"/>
          <w:szCs w:val="18"/>
        </w:rPr>
        <w:t>Giving Thanks (and Giving Back) to Our Veterans</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3E32B8">
        <w:rPr>
          <w:rFonts w:ascii="Verdana" w:hAnsi="Verdana"/>
          <w:bCs/>
          <w:sz w:val="18"/>
          <w:szCs w:val="18"/>
        </w:rPr>
        <w:t>Da</w:t>
      </w:r>
      <w:r w:rsidR="00926340">
        <w:rPr>
          <w:rFonts w:ascii="Verdana" w:hAnsi="Verdana"/>
          <w:bCs/>
          <w:sz w:val="18"/>
          <w:szCs w:val="18"/>
        </w:rPr>
        <w:t xml:space="preserve">vid </w:t>
      </w:r>
      <w:proofErr w:type="spellStart"/>
      <w:r w:rsidR="00926340">
        <w:rPr>
          <w:rFonts w:ascii="Verdana" w:hAnsi="Verdana"/>
          <w:bCs/>
          <w:sz w:val="18"/>
          <w:szCs w:val="18"/>
        </w:rPr>
        <w:t>Brauner</w:t>
      </w:r>
      <w:proofErr w:type="spellEnd"/>
      <w:r w:rsidR="00926340">
        <w:rPr>
          <w:rFonts w:ascii="Verdana" w:hAnsi="Verdana"/>
          <w:bCs/>
          <w:sz w:val="18"/>
          <w:szCs w:val="18"/>
        </w:rPr>
        <w:t>, Publisher</w:t>
      </w:r>
    </w:p>
    <w:p w:rsidR="00F62FD8" w:rsidRPr="00F62FD8" w:rsidRDefault="007805E1" w:rsidP="00F62FD8">
      <w:pPr>
        <w:rPr>
          <w:rFonts w:ascii="Verdana" w:hAnsi="Verdana"/>
          <w:bCs/>
          <w:sz w:val="18"/>
          <w:szCs w:val="18"/>
        </w:rPr>
      </w:pPr>
      <w:r w:rsidRPr="007805E1">
        <w:rPr>
          <w:rFonts w:ascii="Verdana" w:hAnsi="Verdana"/>
          <w:sz w:val="18"/>
          <w:szCs w:val="18"/>
        </w:rPr>
        <w:br/>
      </w:r>
      <w:r w:rsidR="00F62FD8" w:rsidRPr="00F62FD8">
        <w:rPr>
          <w:rFonts w:ascii="Verdana" w:hAnsi="Verdana"/>
          <w:bCs/>
          <w:sz w:val="18"/>
          <w:szCs w:val="18"/>
        </w:rPr>
        <w:t>Veteran’s Day 2015 has come and gone for another year but one appraisal industry company is galvanizing resources to help create a lasting benefit for at-risk men and women who served our country in the armed forces.</w:t>
      </w:r>
      <w:r w:rsidR="00F62FD8" w:rsidRPr="00F62FD8">
        <w:rPr>
          <w:rFonts w:ascii="Verdana" w:hAnsi="Verdana"/>
          <w:bCs/>
          <w:sz w:val="18"/>
          <w:szCs w:val="18"/>
        </w:rPr>
        <w:br/>
      </w:r>
      <w:r w:rsidR="00F62FD8" w:rsidRPr="00F62FD8">
        <w:rPr>
          <w:rFonts w:ascii="Verdana" w:hAnsi="Verdana"/>
          <w:bCs/>
          <w:sz w:val="18"/>
          <w:szCs w:val="18"/>
        </w:rPr>
        <w:br/>
        <w:t xml:space="preserve">According to a memo issued by software giant a la mode, Dave Biggers, the company’s Founder and Chairman, was contacted by a la mode customer and appraiser Carol Huffman, asking if he could help a group of current and former Marines on a grassroots mission to save fellow veterans at risk of suicide. Huffman’s daughter is one of those former Marines and founders of the group, and also a staff appraiser with her mom Carol. “As an Army brat myself, the son of an appraiser and Vietnam veteran, I was committed the moment I heard it,” said Biggers. “And I knew right then that we couldn't just stop at building a website for them (Carol's original request).  We needed to get them across the goal line completely.” </w:t>
      </w:r>
      <w:r w:rsidR="00F62FD8" w:rsidRPr="00F62FD8">
        <w:rPr>
          <w:rFonts w:ascii="Verdana" w:hAnsi="Verdana"/>
          <w:bCs/>
          <w:sz w:val="18"/>
          <w:szCs w:val="18"/>
        </w:rPr>
        <w:br/>
      </w:r>
      <w:r w:rsidR="00F62FD8" w:rsidRPr="00F62FD8">
        <w:rPr>
          <w:rFonts w:ascii="Verdana" w:hAnsi="Verdana"/>
          <w:bCs/>
          <w:sz w:val="18"/>
          <w:szCs w:val="18"/>
        </w:rPr>
        <w:br/>
        <w:t>According the release, 22 veterans commit suicide every single day. “So, sixty m</w:t>
      </w:r>
      <w:r w:rsidR="009E5B0F">
        <w:rPr>
          <w:rFonts w:ascii="Verdana" w:hAnsi="Verdana"/>
          <w:bCs/>
          <w:sz w:val="18"/>
          <w:szCs w:val="18"/>
        </w:rPr>
        <w:t>inutes after you read this</w:t>
      </w:r>
      <w:r w:rsidR="00F62FD8" w:rsidRPr="00F62FD8">
        <w:rPr>
          <w:rFonts w:ascii="Verdana" w:hAnsi="Verdana"/>
          <w:bCs/>
          <w:sz w:val="18"/>
          <w:szCs w:val="18"/>
        </w:rPr>
        <w:t>, another will be gone- that is, unless we all do something about it,” Biggers said.</w:t>
      </w:r>
      <w:r w:rsidR="00F62FD8" w:rsidRPr="00F62FD8">
        <w:rPr>
          <w:rFonts w:ascii="Verdana" w:hAnsi="Verdana"/>
          <w:bCs/>
          <w:sz w:val="18"/>
          <w:szCs w:val="18"/>
        </w:rPr>
        <w:br/>
      </w:r>
      <w:r w:rsidR="00F62FD8" w:rsidRPr="00F62FD8">
        <w:rPr>
          <w:rFonts w:ascii="Verdana" w:hAnsi="Verdana"/>
          <w:bCs/>
          <w:sz w:val="18"/>
          <w:szCs w:val="18"/>
        </w:rPr>
        <w:br/>
        <w:t xml:space="preserve">Huffman’s daughter and a small group of other Marines decided to act after a veteran friend took his life.  The group has become "official" as an IRS 501(c)(3) non-profit company, "The Chesty Puller House,"  appropriately named after Marine Corps Lieutenant General Lewis B. "Chesty" Puller, legendary for opening his home to fellow marines at risk. The money raised is earmarked to purchase Puller’s home and renovate it into “an events center, headquarters, national lifeline, and ‘spiritual beacon’ for at-risk veterans of all branches,” according to the release, “and continuing in Chesty and (his wife) Virginia's tradition.”  Proceeds generated </w:t>
      </w:r>
      <w:bookmarkStart w:id="0" w:name="_GoBack"/>
      <w:bookmarkEnd w:id="0"/>
      <w:r w:rsidR="00F62FD8" w:rsidRPr="00F62FD8">
        <w:rPr>
          <w:rFonts w:ascii="Verdana" w:hAnsi="Verdana"/>
          <w:bCs/>
          <w:sz w:val="18"/>
          <w:szCs w:val="18"/>
        </w:rPr>
        <w:t>will continue funding the Chesty Puller House mission:  to never leave a brother or sister behind.</w:t>
      </w:r>
    </w:p>
    <w:p w:rsidR="00F62FD8" w:rsidRPr="00F62FD8" w:rsidRDefault="00F62FD8" w:rsidP="00F62FD8">
      <w:pPr>
        <w:rPr>
          <w:rFonts w:ascii="Verdana" w:hAnsi="Verdana"/>
          <w:bCs/>
          <w:sz w:val="18"/>
          <w:szCs w:val="18"/>
        </w:rPr>
      </w:pPr>
      <w:r>
        <w:rPr>
          <w:rFonts w:ascii="Verdana" w:hAnsi="Verdana"/>
          <w:bCs/>
          <w:sz w:val="18"/>
          <w:szCs w:val="18"/>
        </w:rPr>
        <w:br/>
      </w:r>
      <w:r w:rsidRPr="00F62FD8">
        <w:rPr>
          <w:rFonts w:ascii="Verdana" w:hAnsi="Verdana"/>
          <w:bCs/>
          <w:sz w:val="18"/>
          <w:szCs w:val="18"/>
        </w:rPr>
        <w:t xml:space="preserve">According to Biggers, the goal of the drive is to raise at least $500,000 as quickly as possible, beginning on Veterans Day.  Biggers is personally contributing $250,000 of that on a dollar-for-dollar match, doubling whatever is donated. </w:t>
      </w:r>
    </w:p>
    <w:p w:rsidR="00F62FD8" w:rsidRPr="00F62FD8" w:rsidRDefault="00F62FD8" w:rsidP="00F62FD8">
      <w:pPr>
        <w:rPr>
          <w:rFonts w:ascii="Verdana" w:hAnsi="Verdana"/>
          <w:bCs/>
          <w:sz w:val="18"/>
          <w:szCs w:val="18"/>
        </w:rPr>
      </w:pPr>
    </w:p>
    <w:p w:rsidR="00F62FD8" w:rsidRPr="00F62FD8" w:rsidRDefault="00F62FD8" w:rsidP="00F62FD8">
      <w:pPr>
        <w:rPr>
          <w:rFonts w:ascii="Verdana" w:hAnsi="Verdana"/>
          <w:bCs/>
          <w:sz w:val="18"/>
          <w:szCs w:val="18"/>
        </w:rPr>
      </w:pPr>
      <w:r w:rsidRPr="00F62FD8">
        <w:rPr>
          <w:rFonts w:ascii="Verdana" w:hAnsi="Verdana"/>
          <w:bCs/>
          <w:sz w:val="18"/>
          <w:szCs w:val="18"/>
        </w:rPr>
        <w:t xml:space="preserve">You can read the complete memo here:  </w:t>
      </w:r>
      <w:hyperlink r:id="rId8" w:history="1">
        <w:r w:rsidRPr="00F62FD8">
          <w:rPr>
            <w:rStyle w:val="Hyperlink"/>
            <w:rFonts w:ascii="Verdana" w:hAnsi="Verdana"/>
            <w:bCs/>
            <w:sz w:val="18"/>
            <w:szCs w:val="18"/>
          </w:rPr>
          <w:t>http://blogs.alamode.com/appraiser/article/appraisers-saving-our-veterans-in-need</w:t>
        </w:r>
      </w:hyperlink>
    </w:p>
    <w:p w:rsidR="00F62FD8" w:rsidRPr="00F62FD8" w:rsidRDefault="00F62FD8" w:rsidP="00F62FD8">
      <w:pPr>
        <w:rPr>
          <w:rFonts w:ascii="Verdana" w:hAnsi="Verdana"/>
          <w:bCs/>
          <w:sz w:val="18"/>
          <w:szCs w:val="18"/>
        </w:rPr>
      </w:pPr>
      <w:r>
        <w:rPr>
          <w:rFonts w:ascii="Verdana" w:hAnsi="Verdana"/>
          <w:bCs/>
          <w:sz w:val="18"/>
          <w:szCs w:val="18"/>
        </w:rPr>
        <w:br/>
      </w:r>
      <w:r w:rsidRPr="00F62FD8">
        <w:rPr>
          <w:rFonts w:ascii="Verdana" w:hAnsi="Verdana"/>
          <w:bCs/>
          <w:sz w:val="18"/>
          <w:szCs w:val="18"/>
        </w:rPr>
        <w:t xml:space="preserve">Donations can be made here: </w:t>
      </w:r>
      <w:hyperlink r:id="rId9" w:tgtFrame="_blank" w:history="1">
        <w:r w:rsidRPr="00F62FD8">
          <w:rPr>
            <w:rStyle w:val="Hyperlink"/>
            <w:rFonts w:ascii="Verdana" w:hAnsi="Verdana"/>
            <w:bCs/>
            <w:sz w:val="18"/>
            <w:szCs w:val="18"/>
          </w:rPr>
          <w:t>www.alamode.com/veterans</w:t>
        </w:r>
      </w:hyperlink>
      <w:r w:rsidRPr="00F62FD8">
        <w:rPr>
          <w:rFonts w:ascii="Verdana" w:hAnsi="Verdana"/>
          <w:bCs/>
          <w:sz w:val="18"/>
          <w:szCs w:val="18"/>
        </w:rPr>
        <w:t>.</w:t>
      </w:r>
    </w:p>
    <w:p w:rsidR="007805E1" w:rsidRPr="006A252F" w:rsidRDefault="00F62FD8" w:rsidP="007805E1">
      <w:pPr>
        <w:pStyle w:val="NormalWeb"/>
        <w:spacing w:before="90" w:beforeAutospacing="0" w:after="180" w:afterAutospacing="0" w:line="270" w:lineRule="atLeast"/>
        <w:rPr>
          <w:rStyle w:val="Hyperlink"/>
          <w:rFonts w:ascii="Verdana" w:hAnsi="Verdana"/>
          <w:sz w:val="18"/>
          <w:szCs w:val="18"/>
        </w:rPr>
      </w:pPr>
      <w:r>
        <w:rPr>
          <w:rStyle w:val="Strong"/>
          <w:rFonts w:ascii="Verdana" w:hAnsi="Verdana"/>
          <w:color w:val="FF0000"/>
        </w:rPr>
        <w:br/>
      </w:r>
      <w:r w:rsidR="006A252F" w:rsidRPr="006A252F">
        <w:rPr>
          <w:rStyle w:val="Strong"/>
          <w:rFonts w:ascii="Verdana" w:hAnsi="Verdana"/>
          <w:color w:val="FF0000"/>
        </w:rPr>
        <w:br/>
      </w:r>
      <w:r w:rsidR="00926340">
        <w:rPr>
          <w:rStyle w:val="Strong"/>
          <w:rFonts w:ascii="Verdana" w:hAnsi="Verdana"/>
          <w:color w:val="FF0000"/>
          <w:sz w:val="18"/>
          <w:szCs w:val="18"/>
        </w:rPr>
        <w:t>Available Now!</w:t>
      </w:r>
      <w:r w:rsidR="006A252F" w:rsidRPr="006A252F">
        <w:rPr>
          <w:rFonts w:ascii="Verdana" w:hAnsi="Verdana"/>
          <w:b/>
          <w:bCs/>
          <w:color w:val="FF0000"/>
          <w:sz w:val="18"/>
          <w:szCs w:val="18"/>
        </w:rPr>
        <w:br/>
      </w:r>
      <w:r w:rsidR="006A252F" w:rsidRPr="006A252F">
        <w:rPr>
          <w:rStyle w:val="Strong"/>
          <w:rFonts w:ascii="Verdana" w:hAnsi="Verdana"/>
          <w:sz w:val="18"/>
          <w:szCs w:val="18"/>
        </w:rPr>
        <w:t>Part 1</w:t>
      </w:r>
      <w:r w:rsidR="006A252F" w:rsidRPr="006A252F">
        <w:rPr>
          <w:rFonts w:ascii="Verdana" w:hAnsi="Verdana"/>
          <w:sz w:val="18"/>
          <w:szCs w:val="18"/>
        </w:rPr>
        <w:t xml:space="preserve">: </w:t>
      </w:r>
      <w:r w:rsidR="00926340">
        <w:rPr>
          <w:rFonts w:ascii="Verdana" w:hAnsi="Verdana"/>
          <w:sz w:val="18"/>
          <w:szCs w:val="18"/>
        </w:rPr>
        <w:t>On-Demand</w:t>
      </w:r>
      <w:r w:rsidR="006A252F" w:rsidRPr="006A252F">
        <w:rPr>
          <w:rFonts w:ascii="Verdana" w:hAnsi="Verdana"/>
          <w:b/>
          <w:bCs/>
          <w:sz w:val="18"/>
          <w:szCs w:val="18"/>
        </w:rPr>
        <w:br/>
      </w:r>
      <w:r w:rsidR="006A252F" w:rsidRPr="006A252F">
        <w:rPr>
          <w:rStyle w:val="Strong"/>
          <w:rFonts w:ascii="Verdana" w:hAnsi="Verdana"/>
          <w:sz w:val="18"/>
          <w:szCs w:val="18"/>
        </w:rPr>
        <w:t>Part 2:</w:t>
      </w:r>
      <w:r w:rsidR="006A252F" w:rsidRPr="006A252F">
        <w:rPr>
          <w:rFonts w:ascii="Verdana" w:hAnsi="Verdana"/>
          <w:sz w:val="18"/>
          <w:szCs w:val="18"/>
        </w:rPr>
        <w:t xml:space="preserve"> </w:t>
      </w:r>
      <w:r w:rsidR="00926340">
        <w:rPr>
          <w:rFonts w:ascii="Verdana" w:hAnsi="Verdana"/>
          <w:sz w:val="18"/>
          <w:szCs w:val="18"/>
        </w:rPr>
        <w:t>On-Demand</w:t>
      </w:r>
      <w:r w:rsidR="006A252F" w:rsidRPr="006A252F">
        <w:rPr>
          <w:rFonts w:ascii="Verdana" w:hAnsi="Verdana"/>
          <w:b/>
          <w:bCs/>
          <w:color w:val="FF0000"/>
          <w:sz w:val="18"/>
          <w:szCs w:val="18"/>
        </w:rPr>
        <w:br/>
      </w:r>
      <w:hyperlink r:id="rId10" w:history="1">
        <w:r w:rsidR="006A252F" w:rsidRPr="006A252F">
          <w:rPr>
            <w:rStyle w:val="Hyperlink"/>
            <w:rFonts w:ascii="Verdana" w:hAnsi="Verdana"/>
            <w:b/>
            <w:bCs/>
            <w:sz w:val="18"/>
            <w:szCs w:val="18"/>
          </w:rPr>
          <w:t>Appraiser Adjustments: Solving Common Problems</w:t>
        </w:r>
      </w:hyperlink>
      <w:r w:rsidR="006A252F" w:rsidRPr="006A252F">
        <w:rPr>
          <w:rStyle w:val="Strong"/>
          <w:rFonts w:ascii="Verdana" w:hAnsi="Verdana"/>
          <w:sz w:val="18"/>
          <w:szCs w:val="18"/>
        </w:rPr>
        <w:t xml:space="preserve"> </w:t>
      </w:r>
      <w:r w:rsidR="006A252F" w:rsidRPr="006A252F">
        <w:rPr>
          <w:rFonts w:ascii="Verdana" w:hAnsi="Verdana"/>
          <w:b/>
          <w:bCs/>
          <w:sz w:val="18"/>
          <w:szCs w:val="18"/>
        </w:rPr>
        <w:br/>
      </w:r>
      <w:r w:rsidR="006A252F" w:rsidRPr="006A252F">
        <w:rPr>
          <w:rFonts w:ascii="Verdana" w:hAnsi="Verdana"/>
          <w:sz w:val="18"/>
          <w:szCs w:val="18"/>
        </w:rPr>
        <w:t>By: Richard Hagar, SRA</w:t>
      </w:r>
      <w:r w:rsidR="006A252F" w:rsidRPr="006A252F">
        <w:rPr>
          <w:rFonts w:ascii="Verdana" w:hAnsi="Verdana"/>
          <w:sz w:val="18"/>
          <w:szCs w:val="18"/>
        </w:rPr>
        <w:br/>
      </w:r>
      <w:r w:rsidR="006A252F" w:rsidRPr="006A252F">
        <w:rPr>
          <w:rFonts w:ascii="Verdana" w:hAnsi="Verdana"/>
          <w:sz w:val="18"/>
          <w:szCs w:val="18"/>
        </w:rPr>
        <w:br/>
        <w:t xml:space="preserve">Failure to provide proof and analysis to support your adjustments means a rough road from now on out. In this upcoming two-part webinar, Richard Hagar, SRA shares the most common </w:t>
      </w:r>
      <w:r w:rsidR="006A252F" w:rsidRPr="006A252F">
        <w:rPr>
          <w:rFonts w:ascii="Verdana" w:hAnsi="Verdana"/>
          <w:sz w:val="18"/>
          <w:szCs w:val="18"/>
        </w:rPr>
        <w:lastRenderedPageBreak/>
        <w:t xml:space="preserve">methods that can be used for determining adjustments and shows examples of how it applies to numerous components throughout an appraisal. Hagar will work through many examples, explaining how to calculate adjustments in the "real world." Learn to apply regression analysis within different neighborhoods as well as how to use the right adjustment method on duplexes, multifamily, condos, and waterfront property. </w:t>
      </w:r>
      <w:hyperlink r:id="rId11" w:history="1">
        <w:r w:rsidR="006A252F" w:rsidRPr="006A252F">
          <w:rPr>
            <w:rStyle w:val="Hyperlink"/>
            <w:rFonts w:ascii="Verdana" w:hAnsi="Verdana"/>
            <w:b/>
            <w:bCs/>
            <w:sz w:val="18"/>
            <w:szCs w:val="18"/>
          </w:rPr>
          <w:t>Sign Up Now!</w:t>
        </w:r>
      </w:hyperlink>
      <w:r w:rsidR="007805E1" w:rsidRPr="006A252F">
        <w:rPr>
          <w:rFonts w:ascii="Verdana" w:hAnsi="Verdana"/>
          <w:b/>
          <w:bCs/>
          <w:sz w:val="18"/>
          <w:szCs w:val="18"/>
        </w:rPr>
        <w:br/>
      </w:r>
      <w:r w:rsidR="007805E1" w:rsidRPr="007805E1">
        <w:rPr>
          <w:rFonts w:ascii="Verdana" w:hAnsi="Verdana"/>
          <w:color w:val="1C1C61"/>
          <w:sz w:val="18"/>
          <w:szCs w:val="18"/>
        </w:rPr>
        <w:fldChar w:fldCharType="begin"/>
      </w:r>
      <w:r w:rsidR="007805E1" w:rsidRPr="006A252F">
        <w:rPr>
          <w:rFonts w:ascii="Verdana" w:hAnsi="Verdana"/>
          <w:color w:val="1C1C61"/>
          <w:sz w:val="18"/>
          <w:szCs w:val="18"/>
        </w:rPr>
        <w:instrText xml:space="preserve"> HYPERLINK "https://attendee.gotowebinar.com/register/833975539998961409" </w:instrText>
      </w:r>
      <w:r w:rsidR="007805E1" w:rsidRPr="007805E1">
        <w:rPr>
          <w:rFonts w:ascii="Verdana" w:hAnsi="Verdana"/>
          <w:color w:val="1C1C61"/>
          <w:sz w:val="18"/>
          <w:szCs w:val="18"/>
        </w:rPr>
        <w:fldChar w:fldCharType="separate"/>
      </w:r>
    </w:p>
    <w:p w:rsidR="00212664" w:rsidRPr="00BB3B68" w:rsidRDefault="007805E1" w:rsidP="00BB3B68">
      <w:pPr>
        <w:pStyle w:val="NormalWeb"/>
        <w:spacing w:before="225" w:beforeAutospacing="0" w:after="0" w:afterAutospacing="0"/>
        <w:rPr>
          <w:rFonts w:ascii="Verdana" w:hAnsi="Verdana"/>
          <w:color w:val="1C1C61"/>
          <w:sz w:val="18"/>
          <w:szCs w:val="18"/>
        </w:rPr>
      </w:pPr>
      <w:r w:rsidRPr="007805E1">
        <w:rPr>
          <w:rStyle w:val="Strong"/>
          <w:rFonts w:ascii="Verdana" w:hAnsi="Verdana"/>
          <w:color w:val="000000"/>
          <w:sz w:val="18"/>
          <w:szCs w:val="18"/>
        </w:rPr>
        <w:t>Fall Webinars</w:t>
      </w:r>
      <w:r w:rsidRPr="007805E1">
        <w:rPr>
          <w:rFonts w:ascii="Verdana" w:hAnsi="Verdana"/>
          <w:color w:val="1C1C61"/>
          <w:sz w:val="18"/>
          <w:szCs w:val="18"/>
        </w:rPr>
        <w:fldChar w:fldCharType="end"/>
      </w:r>
      <w:r w:rsidRPr="007805E1">
        <w:rPr>
          <w:rFonts w:ascii="Verdana" w:hAnsi="Verdana"/>
          <w:b/>
          <w:bCs/>
          <w:color w:val="000000"/>
          <w:sz w:val="18"/>
          <w:szCs w:val="18"/>
        </w:rPr>
        <w:br/>
      </w:r>
      <w:r w:rsidRPr="007805E1">
        <w:rPr>
          <w:rStyle w:val="Strong"/>
          <w:rFonts w:ascii="Verdana" w:hAnsi="Verdana"/>
          <w:color w:val="000000"/>
          <w:sz w:val="18"/>
          <w:szCs w:val="18"/>
        </w:rPr>
        <w:t> </w:t>
      </w:r>
      <w:r w:rsidRPr="007805E1">
        <w:rPr>
          <w:rStyle w:val="Strong"/>
          <w:rFonts w:ascii="Verdana" w:hAnsi="Verdana"/>
          <w:color w:val="1C1C61"/>
          <w:sz w:val="18"/>
          <w:szCs w:val="18"/>
        </w:rPr>
        <w:t xml:space="preserve">• </w:t>
      </w:r>
      <w:hyperlink r:id="rId12" w:history="1">
        <w:r w:rsidRPr="007805E1">
          <w:rPr>
            <w:rStyle w:val="Hyperlink"/>
            <w:rFonts w:ascii="Verdana" w:hAnsi="Verdana"/>
            <w:sz w:val="18"/>
            <w:szCs w:val="18"/>
          </w:rPr>
          <w:t xml:space="preserve">Appraisal Adjustments - Solving Common Problems </w:t>
        </w:r>
      </w:hyperlink>
      <w:r w:rsidRPr="007805E1">
        <w:rPr>
          <w:rFonts w:ascii="Verdana" w:hAnsi="Verdana"/>
          <w:color w:val="1C1C61"/>
          <w:sz w:val="18"/>
          <w:szCs w:val="18"/>
        </w:rPr>
        <w:t>- Richard Hagar, SRA (Nov. 2 parts)</w:t>
      </w:r>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3" w:history="1">
        <w:r w:rsidRPr="007805E1">
          <w:rPr>
            <w:rStyle w:val="Hyperlink"/>
            <w:rFonts w:ascii="Verdana" w:hAnsi="Verdana"/>
            <w:sz w:val="18"/>
            <w:szCs w:val="18"/>
          </w:rPr>
          <w:t>How to Create a Proper Reconciliation - Tim Andersen, MAI (available now)</w:t>
        </w:r>
      </w:hyperlink>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4" w:history="1">
        <w:r w:rsidRPr="007805E1">
          <w:rPr>
            <w:rStyle w:val="Hyperlink"/>
            <w:rFonts w:ascii="Verdana" w:hAnsi="Verdana"/>
            <w:sz w:val="18"/>
            <w:szCs w:val="18"/>
          </w:rPr>
          <w:t>Claims, Complaints, and E&amp;O Insurance</w:t>
        </w:r>
      </w:hyperlink>
      <w:r w:rsidRPr="007805E1">
        <w:rPr>
          <w:rStyle w:val="Strong"/>
          <w:rFonts w:ascii="Verdana" w:hAnsi="Verdana"/>
          <w:color w:val="1C1C61"/>
          <w:sz w:val="18"/>
          <w:szCs w:val="18"/>
        </w:rPr>
        <w:t xml:space="preserve"> - </w:t>
      </w:r>
      <w:r w:rsidRPr="007805E1">
        <w:rPr>
          <w:rStyle w:val="Strong"/>
          <w:rFonts w:ascii="Verdana" w:hAnsi="Verdana"/>
          <w:b w:val="0"/>
          <w:bCs w:val="0"/>
          <w:color w:val="1C1C61"/>
          <w:sz w:val="18"/>
          <w:szCs w:val="18"/>
        </w:rPr>
        <w:t xml:space="preserve">David </w:t>
      </w:r>
      <w:proofErr w:type="spellStart"/>
      <w:r w:rsidRPr="007805E1">
        <w:rPr>
          <w:rStyle w:val="Strong"/>
          <w:rFonts w:ascii="Verdana" w:hAnsi="Verdana"/>
          <w:b w:val="0"/>
          <w:bCs w:val="0"/>
          <w:color w:val="1C1C61"/>
          <w:sz w:val="18"/>
          <w:szCs w:val="18"/>
        </w:rPr>
        <w:t>Brauner</w:t>
      </w:r>
      <w:proofErr w:type="spellEnd"/>
      <w:r w:rsidRPr="007805E1">
        <w:rPr>
          <w:rStyle w:val="Strong"/>
          <w:rFonts w:ascii="Verdana" w:hAnsi="Verdana"/>
          <w:b w:val="0"/>
          <w:bCs w:val="0"/>
          <w:color w:val="1C1C61"/>
          <w:sz w:val="18"/>
          <w:szCs w:val="18"/>
        </w:rPr>
        <w:t xml:space="preserve"> (available now)</w:t>
      </w:r>
      <w:r w:rsidR="00896871">
        <w:rPr>
          <w:rStyle w:val="Strong"/>
          <w:rFonts w:ascii="Verdana" w:hAnsi="Verdana"/>
          <w:b w:val="0"/>
          <w:bCs w:val="0"/>
          <w:color w:val="1C1C61"/>
          <w:sz w:val="18"/>
          <w:szCs w:val="18"/>
        </w:rPr>
        <w:br/>
      </w:r>
      <w:r w:rsidR="00896871" w:rsidRPr="007805E1">
        <w:rPr>
          <w:rStyle w:val="Strong"/>
          <w:rFonts w:ascii="Verdana" w:hAnsi="Verdana"/>
          <w:color w:val="1C1C61"/>
          <w:sz w:val="18"/>
          <w:szCs w:val="18"/>
        </w:rPr>
        <w:t xml:space="preserve"> • </w:t>
      </w:r>
      <w:hyperlink r:id="rId15" w:history="1">
        <w:r w:rsidR="00896871" w:rsidRPr="007805E1">
          <w:rPr>
            <w:rStyle w:val="Hyperlink"/>
            <w:rFonts w:ascii="Verdana" w:hAnsi="Verdana"/>
            <w:sz w:val="18"/>
            <w:szCs w:val="18"/>
          </w:rPr>
          <w:t>Fannie Mae and Q&amp;C Ratings</w:t>
        </w:r>
      </w:hyperlink>
      <w:r w:rsidR="00896871" w:rsidRPr="007805E1">
        <w:rPr>
          <w:rStyle w:val="Strong"/>
          <w:rFonts w:ascii="Verdana" w:hAnsi="Verdana"/>
          <w:color w:val="1C1C61"/>
          <w:sz w:val="18"/>
          <w:szCs w:val="18"/>
        </w:rPr>
        <w:t xml:space="preserve"> </w:t>
      </w:r>
      <w:r w:rsidR="00896871" w:rsidRPr="007805E1">
        <w:rPr>
          <w:rFonts w:ascii="Verdana" w:hAnsi="Verdana"/>
          <w:color w:val="1C1C61"/>
          <w:sz w:val="18"/>
          <w:szCs w:val="18"/>
        </w:rPr>
        <w:t>- Richard Hagar, SRA (</w:t>
      </w:r>
      <w:r w:rsidR="00896871">
        <w:rPr>
          <w:rFonts w:ascii="Verdana" w:hAnsi="Verdana"/>
          <w:color w:val="1C1C61"/>
          <w:sz w:val="18"/>
          <w:szCs w:val="18"/>
        </w:rPr>
        <w:t>available now</w:t>
      </w:r>
      <w:r w:rsidR="00896871" w:rsidRPr="007805E1">
        <w:rPr>
          <w:rFonts w:ascii="Verdana" w:hAnsi="Verdana"/>
          <w:color w:val="1C1C61"/>
          <w:sz w:val="18"/>
          <w:szCs w:val="18"/>
        </w:rPr>
        <w:t>)</w:t>
      </w:r>
      <w:r w:rsidRPr="007805E1">
        <w:rPr>
          <w:rFonts w:ascii="Verdana" w:hAnsi="Verdana"/>
          <w:color w:val="1C1C61"/>
          <w:sz w:val="18"/>
          <w:szCs w:val="18"/>
        </w:rPr>
        <w:br/>
      </w:r>
      <w:r w:rsidRPr="007805E1">
        <w:rPr>
          <w:rFonts w:ascii="Verdana" w:hAnsi="Verdana"/>
          <w:b/>
          <w:bCs/>
          <w:color w:val="1C1C61"/>
          <w:sz w:val="18"/>
          <w:szCs w:val="18"/>
        </w:rPr>
        <w:br/>
      </w:r>
      <w:hyperlink r:id="rId16" w:history="1">
        <w:r w:rsidRPr="007805E1">
          <w:rPr>
            <w:rStyle w:val="Hyperlink"/>
            <w:rFonts w:ascii="Verdana" w:hAnsi="Verdana"/>
            <w:b/>
            <w:bCs/>
            <w:sz w:val="18"/>
            <w:szCs w:val="18"/>
          </w:rPr>
          <w:t>Season Ticket:</w:t>
        </w:r>
      </w:hyperlink>
      <w:r w:rsidRPr="007805E1">
        <w:rPr>
          <w:rStyle w:val="Strong"/>
          <w:rFonts w:ascii="Verdana" w:hAnsi="Verdana"/>
          <w:color w:val="1C1C61"/>
          <w:sz w:val="18"/>
          <w:szCs w:val="18"/>
        </w:rPr>
        <w:t xml:space="preserve"> $129 </w:t>
      </w:r>
      <w:r w:rsidRPr="007805E1">
        <w:rPr>
          <w:rFonts w:ascii="Verdana" w:hAnsi="Verdana"/>
          <w:color w:val="1C1C61"/>
          <w:sz w:val="18"/>
          <w:szCs w:val="18"/>
        </w:rPr>
        <w:t>(Save 35% on all six webinars)</w:t>
      </w:r>
      <w:r w:rsidRPr="007805E1">
        <w:rPr>
          <w:rFonts w:ascii="Verdana" w:hAnsi="Verdana"/>
          <w:color w:val="1C1C61"/>
          <w:sz w:val="18"/>
          <w:szCs w:val="18"/>
        </w:rPr>
        <w:br/>
      </w:r>
      <w:r w:rsidRPr="007805E1">
        <w:rPr>
          <w:rStyle w:val="Strong"/>
          <w:rFonts w:ascii="Verdana" w:hAnsi="Verdana"/>
          <w:color w:val="FF0000"/>
          <w:sz w:val="18"/>
          <w:szCs w:val="18"/>
        </w:rPr>
        <w:t>Save $78:</w:t>
      </w:r>
      <w:r w:rsidRPr="007805E1">
        <w:rPr>
          <w:rFonts w:ascii="Verdana" w:hAnsi="Verdana"/>
          <w:color w:val="1C1C61"/>
          <w:sz w:val="18"/>
          <w:szCs w:val="18"/>
        </w:rPr>
        <w:t xml:space="preserve"> </w:t>
      </w:r>
      <w:hyperlink r:id="rId17" w:history="1">
        <w:r w:rsidRPr="007805E1">
          <w:rPr>
            <w:rStyle w:val="Hyperlink"/>
            <w:rFonts w:ascii="Verdana" w:hAnsi="Verdana"/>
            <w:b/>
            <w:bCs/>
            <w:sz w:val="18"/>
            <w:szCs w:val="18"/>
          </w:rPr>
          <w:t>Get the Season Ticket</w:t>
        </w:r>
      </w:hyperlink>
      <w:r w:rsidR="00BB3B68">
        <w:rPr>
          <w:rFonts w:ascii="Verdana" w:hAnsi="Verdana"/>
          <w:sz w:val="18"/>
          <w:szCs w:val="18"/>
        </w:rPr>
        <w:br/>
      </w:r>
      <w:r w:rsidR="00BB3B68">
        <w:rPr>
          <w:rFonts w:ascii="Verdana" w:hAnsi="Verdana"/>
          <w:sz w:val="18"/>
          <w:szCs w:val="18"/>
        </w:rPr>
        <w:br/>
      </w:r>
      <w:r w:rsidR="00BB3B68">
        <w:rPr>
          <w:rFonts w:ascii="Verdana" w:hAnsi="Verdana"/>
          <w:b/>
          <w:bCs/>
          <w:sz w:val="18"/>
          <w:szCs w:val="18"/>
        </w:rPr>
        <w:br/>
      </w:r>
      <w:r w:rsidR="00BB3B68">
        <w:rPr>
          <w:rFonts w:ascii="Verdana" w:hAnsi="Verdana"/>
          <w:b/>
          <w:bCs/>
          <w:sz w:val="18"/>
          <w:szCs w:val="18"/>
        </w:rPr>
        <w:br/>
      </w:r>
      <w:r w:rsidR="00BB3B68" w:rsidRPr="00BB3B68">
        <w:rPr>
          <w:rFonts w:ascii="Verdana" w:hAnsi="Verdana"/>
          <w:b/>
          <w:bCs/>
          <w:sz w:val="18"/>
          <w:szCs w:val="18"/>
        </w:rPr>
        <w:t>About the Author</w:t>
      </w:r>
      <w:r w:rsidR="00BB3B68" w:rsidRPr="00BB3B68">
        <w:rPr>
          <w:rFonts w:ascii="Verdana" w:hAnsi="Verdana"/>
          <w:sz w:val="18"/>
          <w:szCs w:val="18"/>
        </w:rPr>
        <w:br/>
      </w:r>
      <w:r w:rsidR="00926340" w:rsidRPr="00926340">
        <w:rPr>
          <w:rFonts w:ascii="Verdana" w:hAnsi="Verdana"/>
          <w:sz w:val="18"/>
          <w:szCs w:val="18"/>
        </w:rPr>
        <w:t xml:space="preserve">David </w:t>
      </w:r>
      <w:proofErr w:type="spellStart"/>
      <w:r w:rsidR="00926340" w:rsidRPr="00926340">
        <w:rPr>
          <w:rFonts w:ascii="Verdana" w:hAnsi="Verdana"/>
          <w:sz w:val="18"/>
          <w:szCs w:val="18"/>
        </w:rPr>
        <w:t>Brauner</w:t>
      </w:r>
      <w:proofErr w:type="spellEnd"/>
      <w:r w:rsidR="00926340" w:rsidRPr="00926340">
        <w:rPr>
          <w:rFonts w:ascii="Verdana" w:hAnsi="Verdana"/>
          <w:sz w:val="18"/>
          <w:szCs w:val="18"/>
        </w:rPr>
        <w:t xml:space="preserve"> is the Senior Insurance Broker for </w:t>
      </w:r>
      <w:hyperlink r:id="rId18" w:history="1">
        <w:r w:rsidR="00926340" w:rsidRPr="00926340">
          <w:rPr>
            <w:rStyle w:val="Hyperlink"/>
            <w:rFonts w:ascii="Verdana" w:hAnsi="Verdana"/>
            <w:sz w:val="18"/>
            <w:szCs w:val="18"/>
          </w:rPr>
          <w:t>OREP.org</w:t>
        </w:r>
      </w:hyperlink>
      <w:r w:rsidR="00926340" w:rsidRPr="00926340">
        <w:rPr>
          <w:rFonts w:ascii="Verdana" w:hAnsi="Verdana"/>
          <w:sz w:val="18"/>
          <w:szCs w:val="18"/>
        </w:rPr>
        <w:t xml:space="preserve"> and Publisher of Working RE magazine. He has been involved in providing E&amp;O coverage for appraisers for over 20 years.</w:t>
      </w:r>
    </w:p>
    <w:sectPr w:rsidR="00212664" w:rsidRPr="00BB3B68"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A565D"/>
    <w:rsid w:val="003B0715"/>
    <w:rsid w:val="003C2A7A"/>
    <w:rsid w:val="003C32ED"/>
    <w:rsid w:val="003D7860"/>
    <w:rsid w:val="003E32B8"/>
    <w:rsid w:val="003E445B"/>
    <w:rsid w:val="003E4D13"/>
    <w:rsid w:val="004019D4"/>
    <w:rsid w:val="00403906"/>
    <w:rsid w:val="004058DB"/>
    <w:rsid w:val="0040697D"/>
    <w:rsid w:val="00414420"/>
    <w:rsid w:val="0041652C"/>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46FAC"/>
    <w:rsid w:val="00653428"/>
    <w:rsid w:val="00660C64"/>
    <w:rsid w:val="00666586"/>
    <w:rsid w:val="0066759D"/>
    <w:rsid w:val="00676365"/>
    <w:rsid w:val="006877CC"/>
    <w:rsid w:val="00695D48"/>
    <w:rsid w:val="00696B7D"/>
    <w:rsid w:val="006A09ED"/>
    <w:rsid w:val="006A252F"/>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262D8"/>
    <w:rsid w:val="007559CF"/>
    <w:rsid w:val="0077195E"/>
    <w:rsid w:val="007805E1"/>
    <w:rsid w:val="00782667"/>
    <w:rsid w:val="0078283E"/>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96871"/>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340"/>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B0F"/>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A6052"/>
    <w:rsid w:val="00AB36B6"/>
    <w:rsid w:val="00AB4802"/>
    <w:rsid w:val="00AB539F"/>
    <w:rsid w:val="00AB599F"/>
    <w:rsid w:val="00AC6C14"/>
    <w:rsid w:val="00AD2720"/>
    <w:rsid w:val="00AF7359"/>
    <w:rsid w:val="00AF76BD"/>
    <w:rsid w:val="00B024CC"/>
    <w:rsid w:val="00B05F38"/>
    <w:rsid w:val="00B1701D"/>
    <w:rsid w:val="00B21EC0"/>
    <w:rsid w:val="00B31285"/>
    <w:rsid w:val="00B378D2"/>
    <w:rsid w:val="00B40D4C"/>
    <w:rsid w:val="00B45844"/>
    <w:rsid w:val="00B62969"/>
    <w:rsid w:val="00B64490"/>
    <w:rsid w:val="00B720B4"/>
    <w:rsid w:val="00B742E9"/>
    <w:rsid w:val="00B75B7E"/>
    <w:rsid w:val="00B77992"/>
    <w:rsid w:val="00B840CB"/>
    <w:rsid w:val="00B84A20"/>
    <w:rsid w:val="00B93E89"/>
    <w:rsid w:val="00B96F3E"/>
    <w:rsid w:val="00BA2C70"/>
    <w:rsid w:val="00BA5FCA"/>
    <w:rsid w:val="00BB3790"/>
    <w:rsid w:val="00BB3B68"/>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2FD8"/>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299043233">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05092382">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0649962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24325825">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alamode.com/appraiser/article/appraisers-saving-our-veterans-in-need" TargetMode="External"/><Relationship Id="rId13" Type="http://schemas.openxmlformats.org/officeDocument/2006/relationships/hyperlink" Target="http://www.workingre.com/sept-2015-how-and-why-of-your-appraisals/" TargetMode="External"/><Relationship Id="rId18" Type="http://schemas.openxmlformats.org/officeDocument/2006/relationships/hyperlink" Target="http://orep.org/"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workingre.com/appraisal-adjustments-solving-common-problems/" TargetMode="External"/><Relationship Id="rId17" Type="http://schemas.openxmlformats.org/officeDocument/2006/relationships/hyperlink" Target="http://www.workingre.com/fall-webinar-series-payment-page/" TargetMode="External"/><Relationship Id="rId2" Type="http://schemas.openxmlformats.org/officeDocument/2006/relationships/styles" Target="styles.xml"/><Relationship Id="rId16" Type="http://schemas.openxmlformats.org/officeDocument/2006/relationships/hyperlink" Target="http://www.workingre.com/fall-webinar-series-payment-pa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appraisal-adjustments-solving-common-problems/" TargetMode="External"/><Relationship Id="rId5" Type="http://schemas.openxmlformats.org/officeDocument/2006/relationships/webSettings" Target="webSettings.xml"/><Relationship Id="rId15" Type="http://schemas.openxmlformats.org/officeDocument/2006/relationships/hyperlink" Target="http://www.workingre.com/professional-appraiser-series/" TargetMode="External"/><Relationship Id="rId10" Type="http://schemas.openxmlformats.org/officeDocument/2006/relationships/hyperlink" Target="http://www.workingre.com/appraisal-adjustments-solving-common-proble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ick.alamode.com/default.aspx?adcode=CPVETDAY1115_E1&amp;email=!*EMAIL*!&amp;url=http://www.alamode.com/veterans" TargetMode="External"/><Relationship Id="rId14" Type="http://schemas.openxmlformats.org/officeDocument/2006/relationships/hyperlink" Target="http://www.workingre.com/insurance-liability-town-hall-complaints-claims-and-your-teflon-suit-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4729</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Michael B Meza</cp:lastModifiedBy>
  <cp:revision>5</cp:revision>
  <dcterms:created xsi:type="dcterms:W3CDTF">2015-11-23T20:40:00Z</dcterms:created>
  <dcterms:modified xsi:type="dcterms:W3CDTF">2015-11-24T17:52:00Z</dcterms:modified>
</cp:coreProperties>
</file>