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06" w:rsidRPr="007805E1" w:rsidRDefault="001E2830" w:rsidP="000D212E">
      <w:pPr>
        <w:autoSpaceDE w:val="0"/>
        <w:autoSpaceDN w:val="0"/>
        <w:adjustRightInd w:val="0"/>
        <w:spacing w:after="200" w:line="276" w:lineRule="auto"/>
        <w:jc w:val="center"/>
        <w:rPr>
          <w:rStyle w:val="Emphasis"/>
          <w:rFonts w:ascii="Verdana" w:hAnsi="Verdana" w:cs="Arial"/>
          <w:b/>
          <w:bCs/>
          <w:color w:val="000000"/>
          <w:sz w:val="18"/>
          <w:szCs w:val="18"/>
        </w:rPr>
      </w:pPr>
      <w:r w:rsidRPr="007805E1">
        <w:rPr>
          <w:rFonts w:ascii="Verdana" w:hAnsi="Verdana" w:cs="Arial"/>
          <w:b/>
          <w:bCs/>
          <w:i/>
          <w:iCs/>
          <w:noProof/>
          <w:color w:val="000000"/>
          <w:sz w:val="18"/>
          <w:szCs w:val="18"/>
        </w:rPr>
        <w:drawing>
          <wp:inline distT="0" distB="0" distL="0" distR="0" wp14:anchorId="77EC5DDA" wp14:editId="41D96915">
            <wp:extent cx="3491230" cy="914400"/>
            <wp:effectExtent l="0" t="0" r="0" b="0"/>
            <wp:docPr id="1" name="Picture 1" descr="WREOnlineLogo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p>
    <w:p w:rsidR="00E12D09" w:rsidRPr="007805E1" w:rsidRDefault="00E12D09" w:rsidP="00EB1258">
      <w:pPr>
        <w:rPr>
          <w:rFonts w:ascii="Verdana" w:hAnsi="Verdana"/>
          <w:b/>
          <w:bCs/>
          <w:color w:val="6633CC"/>
          <w:sz w:val="18"/>
          <w:szCs w:val="18"/>
        </w:rPr>
      </w:pPr>
    </w:p>
    <w:p w:rsidR="00720C58" w:rsidRPr="007805E1" w:rsidRDefault="00EB1258" w:rsidP="00720C58">
      <w:pPr>
        <w:rPr>
          <w:rFonts w:ascii="Verdana" w:hAnsi="Verdana"/>
          <w:b/>
          <w:bCs/>
          <w:color w:val="6633CC"/>
          <w:sz w:val="18"/>
          <w:szCs w:val="18"/>
        </w:rPr>
      </w:pPr>
      <w:r w:rsidRPr="007805E1">
        <w:rPr>
          <w:rFonts w:ascii="Verdana" w:hAnsi="Verdana"/>
          <w:b/>
          <w:bCs/>
          <w:color w:val="6633CC"/>
          <w:sz w:val="18"/>
          <w:szCs w:val="18"/>
        </w:rPr>
        <w:br/>
      </w:r>
      <w:r w:rsidR="005F25C6" w:rsidRPr="005F25C6">
        <w:rPr>
          <w:rFonts w:ascii="Verdana" w:hAnsi="Verdana"/>
          <w:b/>
          <w:bCs/>
          <w:color w:val="6633CC"/>
          <w:sz w:val="18"/>
          <w:szCs w:val="18"/>
        </w:rPr>
        <w:t>Appraiser/Whistleblower Wins $85 Million</w:t>
      </w:r>
    </w:p>
    <w:p w:rsidR="00720C58" w:rsidRPr="007805E1" w:rsidRDefault="005C618F" w:rsidP="00720C58">
      <w:pPr>
        <w:rPr>
          <w:rFonts w:ascii="Verdana" w:hAnsi="Verdana"/>
          <w:bCs/>
          <w:sz w:val="18"/>
          <w:szCs w:val="18"/>
        </w:rPr>
      </w:pPr>
      <w:r w:rsidRPr="007805E1">
        <w:rPr>
          <w:rFonts w:ascii="Verdana" w:hAnsi="Verdana"/>
          <w:bCs/>
          <w:sz w:val="18"/>
          <w:szCs w:val="18"/>
        </w:rPr>
        <w:t xml:space="preserve">By </w:t>
      </w:r>
      <w:r w:rsidR="005F25C6">
        <w:rPr>
          <w:rFonts w:ascii="Verdana" w:hAnsi="Verdana"/>
          <w:bCs/>
          <w:sz w:val="18"/>
          <w:szCs w:val="18"/>
        </w:rPr>
        <w:t>Isaac Peck, Editor</w:t>
      </w:r>
    </w:p>
    <w:p w:rsidR="005F25C6" w:rsidRPr="005F25C6" w:rsidRDefault="007805E1" w:rsidP="005F25C6">
      <w:pPr>
        <w:rPr>
          <w:rFonts w:ascii="Verdana" w:hAnsi="Verdana"/>
          <w:bCs/>
          <w:sz w:val="18"/>
          <w:szCs w:val="18"/>
        </w:rPr>
      </w:pPr>
      <w:r w:rsidRPr="007805E1">
        <w:rPr>
          <w:rFonts w:ascii="Verdana" w:hAnsi="Verdana"/>
          <w:sz w:val="18"/>
          <w:szCs w:val="18"/>
        </w:rPr>
        <w:br/>
      </w:r>
      <w:r w:rsidR="005F25C6" w:rsidRPr="005F25C6">
        <w:rPr>
          <w:rFonts w:ascii="Verdana" w:hAnsi="Verdana"/>
          <w:bCs/>
          <w:sz w:val="18"/>
          <w:szCs w:val="18"/>
        </w:rPr>
        <w:t xml:space="preserve">In what many see as a win for appraisers, as well as those lenders and appraisal management companies (AMCs) that do follow the law, Fifth Third Bank has agreed to pay nearly $85 million as part of a settlement with the U.S. Department of Justice (DOJ). The case deals primarily with fraudulent appraisal practices. The lead whistleblower in the case is George Mann, Fifth Third’s former chief appraiser.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The settlement is the latest in a string of appraiser whistleblower lawsuits that highlight unethical and fraudulent practices that violate appraiser independence and perpetuate appraisal fraud. Mann follows in the footsteps of Kyle </w:t>
      </w:r>
      <w:proofErr w:type="spellStart"/>
      <w:r w:rsidRPr="005F25C6">
        <w:rPr>
          <w:rFonts w:ascii="Verdana" w:hAnsi="Verdana"/>
          <w:bCs/>
          <w:sz w:val="18"/>
          <w:szCs w:val="18"/>
        </w:rPr>
        <w:t>Lagow</w:t>
      </w:r>
      <w:proofErr w:type="spellEnd"/>
      <w:r w:rsidRPr="005F25C6">
        <w:rPr>
          <w:rFonts w:ascii="Verdana" w:hAnsi="Verdana"/>
          <w:bCs/>
          <w:sz w:val="18"/>
          <w:szCs w:val="18"/>
        </w:rPr>
        <w:t>, of Countrywide, who received $14 million in a whistleblower case that led to a $1 billion settlement between Bank of America (</w:t>
      </w:r>
      <w:proofErr w:type="spellStart"/>
      <w:r w:rsidRPr="005F25C6">
        <w:rPr>
          <w:rFonts w:ascii="Verdana" w:hAnsi="Verdana"/>
          <w:bCs/>
          <w:sz w:val="18"/>
          <w:szCs w:val="18"/>
        </w:rPr>
        <w:t>BoA</w:t>
      </w:r>
      <w:proofErr w:type="spellEnd"/>
      <w:r w:rsidRPr="005F25C6">
        <w:rPr>
          <w:rFonts w:ascii="Verdana" w:hAnsi="Verdana"/>
          <w:bCs/>
          <w:sz w:val="18"/>
          <w:szCs w:val="18"/>
        </w:rPr>
        <w:t xml:space="preserve">) and the DOJ, and Robert Madsen, who received $56 million for his part in a $16.65 billion settlement, also with </w:t>
      </w:r>
      <w:proofErr w:type="spellStart"/>
      <w:r w:rsidRPr="005F25C6">
        <w:rPr>
          <w:rFonts w:ascii="Verdana" w:hAnsi="Verdana"/>
          <w:bCs/>
          <w:sz w:val="18"/>
          <w:szCs w:val="18"/>
        </w:rPr>
        <w:t>BoA</w:t>
      </w:r>
      <w:proofErr w:type="spellEnd"/>
      <w:r w:rsidRPr="005F25C6">
        <w:rPr>
          <w:rFonts w:ascii="Verdana" w:hAnsi="Verdana"/>
          <w:bCs/>
          <w:sz w:val="18"/>
          <w:szCs w:val="18"/>
        </w:rPr>
        <w:t xml:space="preserve">. (See Interview: Appraiser Who Brought </w:t>
      </w:r>
      <w:proofErr w:type="gramStart"/>
      <w:r w:rsidRPr="005F25C6">
        <w:rPr>
          <w:rFonts w:ascii="Verdana" w:hAnsi="Verdana"/>
          <w:bCs/>
          <w:sz w:val="18"/>
          <w:szCs w:val="18"/>
        </w:rPr>
        <w:t>Down</w:t>
      </w:r>
      <w:proofErr w:type="gramEnd"/>
      <w:r w:rsidRPr="005F25C6">
        <w:rPr>
          <w:rFonts w:ascii="Verdana" w:hAnsi="Verdana"/>
          <w:bCs/>
          <w:sz w:val="18"/>
          <w:szCs w:val="18"/>
        </w:rPr>
        <w:t xml:space="preserve"> Countrywide, visit WorkingRE.com; click Library.)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Mann, and his co-claimant John Ferguson, will receive seven and one-half percent (7.5%) for their part in the Fifth Third suit as whistleblowers, which calculates to a tidy $6,368,326, before lawyers’ fees and taxes. The lawsuit was filed under the qui tam or whistleblower provisions of the False Claims Act, which allows private parties to sue on behalf of the United States when they believe a company has submitted false claims for government funds.</w:t>
      </w:r>
    </w:p>
    <w:p w:rsidR="005F25C6" w:rsidRPr="005F25C6" w:rsidRDefault="005F25C6" w:rsidP="005F25C6">
      <w:pPr>
        <w:rPr>
          <w:rFonts w:ascii="Verdana" w:hAnsi="Verdana"/>
          <w:bCs/>
          <w:sz w:val="18"/>
          <w:szCs w:val="18"/>
        </w:rPr>
      </w:pPr>
      <w:r w:rsidRPr="005F25C6">
        <w:rPr>
          <w:rFonts w:ascii="Verdana" w:hAnsi="Verdana"/>
          <w:bCs/>
          <w:sz w:val="18"/>
          <w:szCs w:val="18"/>
        </w:rPr>
        <w:t xml:space="preserve"> </w:t>
      </w:r>
    </w:p>
    <w:p w:rsidR="005F25C6" w:rsidRPr="005F25C6" w:rsidRDefault="005F25C6" w:rsidP="005F25C6">
      <w:pPr>
        <w:rPr>
          <w:rFonts w:ascii="Verdana" w:hAnsi="Verdana"/>
          <w:bCs/>
          <w:sz w:val="18"/>
          <w:szCs w:val="18"/>
        </w:rPr>
      </w:pPr>
      <w:r w:rsidRPr="005F25C6">
        <w:rPr>
          <w:rFonts w:ascii="Verdana" w:hAnsi="Verdana"/>
          <w:bCs/>
          <w:sz w:val="18"/>
          <w:szCs w:val="18"/>
        </w:rPr>
        <w:t>Mann declined to comment for this story. Mann’s initial complaint was filed in June 2011, meaning that it took over four years to finally reach a settlement. Throughout the struggle, Mann writes that he often listened to Tom Petty’s song “I won’t back down,” advising appraisers to “give it a listen anytime someone wants you to compromise your ethics.”</w:t>
      </w:r>
    </w:p>
    <w:p w:rsidR="005F25C6" w:rsidRPr="005F25C6" w:rsidRDefault="005F25C6" w:rsidP="005F25C6">
      <w:pPr>
        <w:rPr>
          <w:rFonts w:ascii="Verdana" w:hAnsi="Verdana"/>
          <w:bCs/>
          <w:sz w:val="18"/>
          <w:szCs w:val="18"/>
        </w:rPr>
      </w:pPr>
    </w:p>
    <w:p w:rsidR="005F25C6" w:rsidRPr="00597017" w:rsidRDefault="005F25C6" w:rsidP="005F25C6">
      <w:pPr>
        <w:rPr>
          <w:rFonts w:ascii="Verdana" w:hAnsi="Verdana"/>
          <w:b/>
          <w:bCs/>
          <w:sz w:val="18"/>
          <w:szCs w:val="18"/>
        </w:rPr>
      </w:pPr>
      <w:r w:rsidRPr="00597017">
        <w:rPr>
          <w:rFonts w:ascii="Verdana" w:hAnsi="Verdana"/>
          <w:b/>
          <w:bCs/>
          <w:sz w:val="18"/>
          <w:szCs w:val="18"/>
        </w:rPr>
        <w:t>Fraud, Pressure and Fees</w:t>
      </w:r>
    </w:p>
    <w:p w:rsidR="005F25C6" w:rsidRPr="005F25C6" w:rsidRDefault="005F25C6" w:rsidP="005F25C6">
      <w:pPr>
        <w:rPr>
          <w:rFonts w:ascii="Verdana" w:hAnsi="Verdana"/>
          <w:bCs/>
          <w:sz w:val="18"/>
          <w:szCs w:val="18"/>
        </w:rPr>
      </w:pPr>
      <w:r w:rsidRPr="005F25C6">
        <w:rPr>
          <w:rFonts w:ascii="Verdana" w:hAnsi="Verdana"/>
          <w:bCs/>
          <w:sz w:val="18"/>
          <w:szCs w:val="18"/>
        </w:rPr>
        <w:t>Similar to other high-value whistleblower settlements, large portions of the case have been sealed by the order of a federal judge. However, Mann’s amended complaint remains public and contains many scenarios that will surely sound familiar to appraisers.</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Mann was hired in 2004 to be Chief Appraiser and Vice President of the Real Estate Valuation Group (REVG), the valuation arm of Fifth Third Bank. His tenure lasted until September 2008 when he was terminated.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While the initial suit focuses on commercial appraisals and commercial loans, it also alleges that fraudulent and misleading appraisals were used by Fifth Third to qualify for funding from the Troubled Asset Relief Fund (TARP), the Federal Deposit Insurance Corporation (FDIC), Fannie Mae, Freddie Mac, and other federal funding and securitization programs.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The practices described in the suit reflect the worst of the industry’s abuses, echoing the same issues that appraisers continue to encounter and speak out about today: pressure to meet value, unreasonable turn times and low fees. According to the suit: “From 2004 through today, loan officers instructed, coerced, and/or intimidated staff into obtaining appraisals at below-market fees and with unrealistically short delivery times, which resulted in questionable valuations. In addition, lenders used the same methods of intimidation to pressure REVG staff and/or appraisers into raising values so loan conditions could be met.”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According to the suit, as part of its scheme to commit appraisal fraud, Fifth Third also allowed loan personnel to close loans prior to the completion of an </w:t>
      </w:r>
      <w:proofErr w:type="gramStart"/>
      <w:r w:rsidRPr="005F25C6">
        <w:rPr>
          <w:rFonts w:ascii="Verdana" w:hAnsi="Verdana"/>
          <w:bCs/>
          <w:sz w:val="18"/>
          <w:szCs w:val="18"/>
        </w:rPr>
        <w:t>appraisal,</w:t>
      </w:r>
      <w:proofErr w:type="gramEnd"/>
      <w:r w:rsidRPr="005F25C6">
        <w:rPr>
          <w:rFonts w:ascii="Verdana" w:hAnsi="Verdana"/>
          <w:bCs/>
          <w:sz w:val="18"/>
          <w:szCs w:val="18"/>
        </w:rPr>
        <w:t xml:space="preserve"> hand-select favored appraisers at times, and retaliate against impartial appraisers when they would not value properties high enough.</w:t>
      </w:r>
    </w:p>
    <w:p w:rsidR="005F25C6" w:rsidRPr="005F25C6" w:rsidRDefault="005F25C6" w:rsidP="005F25C6">
      <w:pPr>
        <w:rPr>
          <w:rFonts w:ascii="Verdana" w:hAnsi="Verdana"/>
          <w:bCs/>
          <w:sz w:val="18"/>
          <w:szCs w:val="18"/>
        </w:rPr>
      </w:pPr>
      <w:r w:rsidRPr="005F25C6">
        <w:rPr>
          <w:rFonts w:ascii="Verdana" w:hAnsi="Verdana"/>
          <w:bCs/>
          <w:sz w:val="18"/>
          <w:szCs w:val="18"/>
        </w:rPr>
        <w:t xml:space="preserve"> </w:t>
      </w:r>
    </w:p>
    <w:p w:rsidR="005F25C6" w:rsidRPr="005F25C6" w:rsidRDefault="005F25C6" w:rsidP="005F25C6">
      <w:pPr>
        <w:rPr>
          <w:rFonts w:ascii="Verdana" w:hAnsi="Verdana"/>
          <w:bCs/>
          <w:sz w:val="18"/>
          <w:szCs w:val="18"/>
        </w:rPr>
      </w:pPr>
      <w:r w:rsidRPr="005F25C6">
        <w:rPr>
          <w:rFonts w:ascii="Verdana" w:hAnsi="Verdana"/>
          <w:bCs/>
          <w:sz w:val="18"/>
          <w:szCs w:val="18"/>
        </w:rPr>
        <w:t>Mann began reporting Fifth Third’s violations to the Federal Reserve in 2005 and continued sending reports until 2008 when he was terminated, according to the suit. Mann and Ferguson estimated that the degree of overvaluation was at least 20 percent of the Bank’s $20 billion commercial real estate loan portfolio, causing Fifth Third’s loan portfolio to be overvalued by $4 billion.</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This overvaluation, according to the suit, means that Fifth Third misrepresented its financial position and consequently defrauded the Federal Reserve, the United States Treasury, Fannie Mae, Freddie Mac, and the Federal Housing Administration.</w:t>
      </w:r>
    </w:p>
    <w:p w:rsidR="005F25C6" w:rsidRPr="005F25C6" w:rsidRDefault="005F25C6" w:rsidP="005F25C6">
      <w:pPr>
        <w:rPr>
          <w:rFonts w:ascii="Verdana" w:hAnsi="Verdana"/>
          <w:bCs/>
          <w:sz w:val="18"/>
          <w:szCs w:val="18"/>
        </w:rPr>
      </w:pPr>
    </w:p>
    <w:p w:rsidR="005F25C6" w:rsidRPr="00597017" w:rsidRDefault="005F25C6" w:rsidP="005F25C6">
      <w:pPr>
        <w:rPr>
          <w:rFonts w:ascii="Verdana" w:hAnsi="Verdana"/>
          <w:b/>
          <w:bCs/>
          <w:sz w:val="18"/>
          <w:szCs w:val="18"/>
        </w:rPr>
      </w:pPr>
      <w:r w:rsidRPr="00597017">
        <w:rPr>
          <w:rFonts w:ascii="Verdana" w:hAnsi="Verdana"/>
          <w:b/>
          <w:bCs/>
          <w:sz w:val="18"/>
          <w:szCs w:val="18"/>
        </w:rPr>
        <w:t>Federal Reserve</w:t>
      </w:r>
    </w:p>
    <w:p w:rsidR="005F25C6" w:rsidRPr="005F25C6" w:rsidRDefault="005F25C6" w:rsidP="005F25C6">
      <w:pPr>
        <w:rPr>
          <w:rFonts w:ascii="Verdana" w:hAnsi="Verdana"/>
          <w:bCs/>
          <w:sz w:val="18"/>
          <w:szCs w:val="18"/>
        </w:rPr>
      </w:pPr>
      <w:r w:rsidRPr="005F25C6">
        <w:rPr>
          <w:rFonts w:ascii="Verdana" w:hAnsi="Verdana"/>
          <w:bCs/>
          <w:sz w:val="18"/>
          <w:szCs w:val="18"/>
        </w:rPr>
        <w:t>While most appraisers are familiar with the typical motivations that cause pressure on an appraiser to “close the deal,” the suit offers a fresh look at another reason banks are motivated to overvalue their collateral. Specifically, the suit alleges that the misleading and overvalued appraisals were used, in part, as a mechanism for reducing Fifth Third’s reserve obligations for the Federal Reserve.</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For instance, if a bank reports to the Federal Reserve that its loans are well collateralized and of low risk, the Federal Reserve then allows the bank to keep a lower amount on reserve. On the other hand, if a bank’s loans are under-collateralized and the risk is high, the Federal Reserve requires the bank to hold more money in reserve to protect the government’s interests.</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Consequently, banks that want to reduce their reserve obligations and have more cash on hand, have a motivation to actively over-report the value of their loan portfolios, as this lowers the amount that the Federal Reserve requires to be placed in reserve.</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This, the suit alleges, is exactly what Fifth Third did, systematically procuring “erroneous and inflated” values which caused the Federal Reserve to underestimate the bank’s risk and allowed the bank to reduce its reserves.</w:t>
      </w:r>
    </w:p>
    <w:p w:rsidR="005F25C6" w:rsidRPr="005F25C6" w:rsidRDefault="005F25C6" w:rsidP="005F25C6">
      <w:pPr>
        <w:rPr>
          <w:rFonts w:ascii="Verdana" w:hAnsi="Verdana"/>
          <w:bCs/>
          <w:sz w:val="18"/>
          <w:szCs w:val="18"/>
        </w:rPr>
      </w:pPr>
    </w:p>
    <w:p w:rsidR="005F25C6" w:rsidRPr="00597017" w:rsidRDefault="005F25C6" w:rsidP="005F25C6">
      <w:pPr>
        <w:rPr>
          <w:rFonts w:ascii="Verdana" w:hAnsi="Verdana"/>
          <w:b/>
          <w:bCs/>
          <w:sz w:val="18"/>
          <w:szCs w:val="18"/>
        </w:rPr>
      </w:pPr>
      <w:r w:rsidRPr="00597017">
        <w:rPr>
          <w:rFonts w:ascii="Verdana" w:hAnsi="Verdana"/>
          <w:b/>
          <w:bCs/>
          <w:sz w:val="18"/>
          <w:szCs w:val="18"/>
        </w:rPr>
        <w:t>Case Development</w:t>
      </w:r>
    </w:p>
    <w:p w:rsidR="005F25C6" w:rsidRPr="005F25C6" w:rsidRDefault="005F25C6" w:rsidP="005F25C6">
      <w:pPr>
        <w:rPr>
          <w:rFonts w:ascii="Verdana" w:hAnsi="Verdana"/>
          <w:bCs/>
          <w:sz w:val="18"/>
          <w:szCs w:val="18"/>
        </w:rPr>
      </w:pPr>
      <w:r w:rsidRPr="005F25C6">
        <w:rPr>
          <w:rFonts w:ascii="Verdana" w:hAnsi="Verdana"/>
          <w:bCs/>
          <w:sz w:val="18"/>
          <w:szCs w:val="18"/>
        </w:rPr>
        <w:t>Of interest to many who read this settlement closely is the fact that John Ferguson was named as a Co-claimant in the suit and received a portion of the $6.34 million whistleblower settlement, despite the fact that Ferguson never worked at Fifth Third Bank. Ferguson is a self-described “career whistleblower” who initially filed a whistleblower lawsuit against Bank United in the early 2000s. While his whistleblower lawsuit was not successful, Ferguson learned so much about the process that he decided to become a fulltime whistleblower, helping others build cases against big banks and other organizations that have defrauded the government.</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Ferguson says he brings experience to the process. “I call myself a professional whistleblower. I help put all the bits of information together so that fits in this kind of lawsuit. It’s a long and painful process,” says Ferguson.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Ferguson says the case developed from a suit primarily focused on commercial appraisals to a settlement over residential FHA loans largely because the commercial appraisal side was too complicated for the government to understand. “George and I have been the only whistleblowers who filed on commercial lending. The government already understood the residential side, but they didn’t know how to look at the commercial side. It was a little disappointing because commercial real estate was hit just as hard as residential,” says Ferguson.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lastRenderedPageBreak/>
        <w:t xml:space="preserve">Ultimately, the government decided to focus on residential lending, discovering that hundreds of FHA loans were too defective to qualify for FHA insurance. The $85 million settlement with Fifth Third compensates the government for over 1,400 loans that were insured through the FHA loan program and were discovered to be defective. </w:t>
      </w:r>
    </w:p>
    <w:p w:rsidR="005F25C6" w:rsidRPr="005F25C6" w:rsidRDefault="005F25C6" w:rsidP="005F25C6">
      <w:pPr>
        <w:rPr>
          <w:rFonts w:ascii="Verdana" w:hAnsi="Verdana"/>
          <w:bCs/>
          <w:sz w:val="18"/>
          <w:szCs w:val="18"/>
        </w:rPr>
      </w:pPr>
    </w:p>
    <w:p w:rsidR="005F25C6" w:rsidRPr="00597017" w:rsidRDefault="005F25C6" w:rsidP="005F25C6">
      <w:pPr>
        <w:rPr>
          <w:rFonts w:ascii="Verdana" w:hAnsi="Verdana"/>
          <w:b/>
          <w:bCs/>
          <w:sz w:val="18"/>
          <w:szCs w:val="18"/>
        </w:rPr>
      </w:pPr>
      <w:r w:rsidRPr="00597017">
        <w:rPr>
          <w:rFonts w:ascii="Verdana" w:hAnsi="Verdana"/>
          <w:b/>
          <w:bCs/>
          <w:sz w:val="18"/>
          <w:szCs w:val="18"/>
        </w:rPr>
        <w:t>Being a Whistleblower</w:t>
      </w:r>
    </w:p>
    <w:p w:rsidR="005F25C6" w:rsidRPr="005F25C6" w:rsidRDefault="005F25C6" w:rsidP="005F25C6">
      <w:pPr>
        <w:rPr>
          <w:rFonts w:ascii="Verdana" w:hAnsi="Verdana"/>
          <w:bCs/>
          <w:sz w:val="18"/>
          <w:szCs w:val="18"/>
        </w:rPr>
      </w:pPr>
      <w:r w:rsidRPr="005F25C6">
        <w:rPr>
          <w:rFonts w:ascii="Verdana" w:hAnsi="Verdana"/>
          <w:bCs/>
          <w:sz w:val="18"/>
          <w:szCs w:val="18"/>
        </w:rPr>
        <w:t xml:space="preserve">While the prospect of million dollar settlements sounds enticing to many, the reality of being a whistleblower is not pretty. Whistleblowers frequently speak of a long and lonely struggle for justice, including being forbidden from discussing the suit with anyone, including immediate family or friends.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Ferguson says that being a whistleblower is not for everyone. “It’s hard to sit there for four or five years sometimes, not knowing if you’re going to get anything out of it or not.  A whole host of negative things can happen to a whistleblower, including getting blackballed by the industry,” says Ferguson.</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For those appraisers who are aware of lenders or other organizations that are brazenly violating the law and are interested in blowing the whistle, Ferguson points out that success is all about documentation. “It can’t just be your word. The government has to have a lot of documentation before they will get involved: people, places, and things. When did it happen, who did it, how did it happen, why is it wrong, to what extent is it wrong, and what damages might there be to the government? Appraisers witnessing wrongdoing would be wise to save everything: appraisals, emails, phone numbers, you name it,” says Ferguson.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The fact that Mann had such detailed and quality documentation on the fraud was a critical element that helped the Fifth Third case </w:t>
      </w:r>
      <w:proofErr w:type="gramStart"/>
      <w:r w:rsidRPr="005F25C6">
        <w:rPr>
          <w:rFonts w:ascii="Verdana" w:hAnsi="Verdana"/>
          <w:bCs/>
          <w:sz w:val="18"/>
          <w:szCs w:val="18"/>
        </w:rPr>
        <w:t>succeed</w:t>
      </w:r>
      <w:proofErr w:type="gramEnd"/>
      <w:r w:rsidRPr="005F25C6">
        <w:rPr>
          <w:rFonts w:ascii="Verdana" w:hAnsi="Verdana"/>
          <w:bCs/>
          <w:sz w:val="18"/>
          <w:szCs w:val="18"/>
        </w:rPr>
        <w:t>, according to Ferguson.</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Lastly, Ferguson says appraisers who are interested in blowing the whistle should consult with an attorney. “There are a lot of whistleblower attorneys who will take your call if you believe you have a case. You just need to know how to talk to them about it. I’d be happy to talk to appraisers and lead them in the right direction, maybe point them towards a lawyer,” says Ferguson.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 xml:space="preserve">Linda J. </w:t>
      </w:r>
      <w:proofErr w:type="spellStart"/>
      <w:r w:rsidRPr="005F25C6">
        <w:rPr>
          <w:rFonts w:ascii="Verdana" w:hAnsi="Verdana"/>
          <w:bCs/>
          <w:sz w:val="18"/>
          <w:szCs w:val="18"/>
        </w:rPr>
        <w:t>Stengle</w:t>
      </w:r>
      <w:proofErr w:type="spellEnd"/>
      <w:r w:rsidRPr="005F25C6">
        <w:rPr>
          <w:rFonts w:ascii="Verdana" w:hAnsi="Verdana"/>
          <w:bCs/>
          <w:sz w:val="18"/>
          <w:szCs w:val="18"/>
        </w:rPr>
        <w:t>, one of the attorneys representing Mann and Ferguson, encourages appraisers to step forward. "The False Claims Act, and to a lesser extent, the SEC whistleblower program, can really help protect qualified appraisers who are doing their jobs properly.  Appraisers who are aware of large scale USPAP and FHA violations, for example, should investigate whether a whistleblower action will work for them."</w:t>
      </w:r>
    </w:p>
    <w:p w:rsidR="005F25C6" w:rsidRPr="005F25C6" w:rsidRDefault="005F25C6" w:rsidP="005F25C6">
      <w:pPr>
        <w:rPr>
          <w:rFonts w:ascii="Verdana" w:hAnsi="Verdana"/>
          <w:bCs/>
          <w:sz w:val="18"/>
          <w:szCs w:val="18"/>
        </w:rPr>
      </w:pPr>
    </w:p>
    <w:p w:rsidR="005F25C6" w:rsidRPr="00597017" w:rsidRDefault="005F25C6" w:rsidP="005F25C6">
      <w:pPr>
        <w:rPr>
          <w:rFonts w:ascii="Verdana" w:hAnsi="Verdana"/>
          <w:b/>
          <w:bCs/>
          <w:sz w:val="18"/>
          <w:szCs w:val="18"/>
        </w:rPr>
      </w:pPr>
      <w:r w:rsidRPr="00597017">
        <w:rPr>
          <w:rFonts w:ascii="Verdana" w:hAnsi="Verdana"/>
          <w:b/>
          <w:bCs/>
          <w:sz w:val="18"/>
          <w:szCs w:val="18"/>
        </w:rPr>
        <w:t>Appraisers on Frontline</w:t>
      </w:r>
    </w:p>
    <w:p w:rsidR="005F25C6" w:rsidRPr="005F25C6" w:rsidRDefault="005F25C6" w:rsidP="005F25C6">
      <w:pPr>
        <w:rPr>
          <w:rFonts w:ascii="Verdana" w:hAnsi="Verdana"/>
          <w:bCs/>
          <w:sz w:val="18"/>
          <w:szCs w:val="18"/>
        </w:rPr>
      </w:pPr>
      <w:r w:rsidRPr="005F25C6">
        <w:rPr>
          <w:rFonts w:ascii="Verdana" w:hAnsi="Verdana"/>
          <w:bCs/>
          <w:sz w:val="18"/>
          <w:szCs w:val="18"/>
        </w:rPr>
        <w:t xml:space="preserve">Even inside the industry, appraisers are frequently blamed for going along with the widespread fraud that contributed to the real estate bubble and crash of the early 2000s. However, the Fifth Third settlement is a reminder that appraisers have often been on the frontlines in the fight against real estate and mortgage fraud. Like Kyle </w:t>
      </w:r>
      <w:proofErr w:type="spellStart"/>
      <w:r w:rsidRPr="005F25C6">
        <w:rPr>
          <w:rFonts w:ascii="Verdana" w:hAnsi="Verdana"/>
          <w:bCs/>
          <w:sz w:val="18"/>
          <w:szCs w:val="18"/>
        </w:rPr>
        <w:t>Lagow</w:t>
      </w:r>
      <w:proofErr w:type="spellEnd"/>
      <w:r w:rsidRPr="005F25C6">
        <w:rPr>
          <w:rFonts w:ascii="Verdana" w:hAnsi="Verdana"/>
          <w:bCs/>
          <w:sz w:val="18"/>
          <w:szCs w:val="18"/>
        </w:rPr>
        <w:t xml:space="preserve"> or George Mann, the rank-and-file appraiser frequently stands alone against illegal pressure and is too often the lone voice of integrity defending the public trust. Lately, appraisers seem to be the ones blamed for the failures and fraud on the part of lenders that led to the real estate collapse.  </w:t>
      </w:r>
    </w:p>
    <w:p w:rsidR="005F25C6" w:rsidRPr="005F25C6" w:rsidRDefault="005F25C6" w:rsidP="005F25C6">
      <w:pPr>
        <w:rPr>
          <w:rFonts w:ascii="Verdana" w:hAnsi="Verdana"/>
          <w:bCs/>
          <w:sz w:val="18"/>
          <w:szCs w:val="18"/>
        </w:rPr>
      </w:pPr>
    </w:p>
    <w:p w:rsidR="005F25C6" w:rsidRPr="005F25C6" w:rsidRDefault="005F25C6" w:rsidP="005F25C6">
      <w:pPr>
        <w:rPr>
          <w:rFonts w:ascii="Verdana" w:hAnsi="Verdana"/>
          <w:bCs/>
          <w:sz w:val="18"/>
          <w:szCs w:val="18"/>
        </w:rPr>
      </w:pPr>
      <w:r w:rsidRPr="005F25C6">
        <w:rPr>
          <w:rFonts w:ascii="Verdana" w:hAnsi="Verdana"/>
          <w:bCs/>
          <w:sz w:val="18"/>
          <w:szCs w:val="18"/>
        </w:rPr>
        <w:t>Richard Hagar, SRA trains lenders and AMCs on policies and procedures, as well as helping residential appraisers understand their rights.  Hagar believes the settlement is good for the industry because it shows that there are consequences when banks violate the law. “Appraisers are often bullied and pushed around. The whistleblower statute, which was reinforced under Dodd-Frank, gives appraisers some muscle to stand up to bullies,” says Hagar.</w:t>
      </w:r>
    </w:p>
    <w:p w:rsidR="005F25C6" w:rsidRPr="005F25C6" w:rsidRDefault="005F25C6" w:rsidP="005F25C6">
      <w:pPr>
        <w:rPr>
          <w:rFonts w:ascii="Verdana" w:hAnsi="Verdana"/>
          <w:bCs/>
          <w:sz w:val="18"/>
          <w:szCs w:val="18"/>
        </w:rPr>
      </w:pPr>
    </w:p>
    <w:p w:rsidR="007805E1" w:rsidRPr="00016561" w:rsidRDefault="005F25C6" w:rsidP="005F25C6">
      <w:pPr>
        <w:rPr>
          <w:rFonts w:ascii="Verdana" w:hAnsi="Verdana"/>
          <w:bCs/>
          <w:sz w:val="18"/>
          <w:szCs w:val="18"/>
        </w:rPr>
      </w:pPr>
      <w:r w:rsidRPr="005F25C6">
        <w:rPr>
          <w:rFonts w:ascii="Verdana" w:hAnsi="Verdana"/>
          <w:bCs/>
          <w:sz w:val="18"/>
          <w:szCs w:val="18"/>
        </w:rPr>
        <w:t xml:space="preserve">Hagar continues, “Appraisers have been on the frontlines of many of the whistleblower lawsuits regarding real estate fraud that have been made public, and I can tell you that multiple whistleblower cases involving appraisers are currently ongoing. Appraisers don’t win every case and we often only hear about the victorious ones since qui tam suits are filed under </w:t>
      </w:r>
      <w:r w:rsidRPr="005F25C6">
        <w:rPr>
          <w:rFonts w:ascii="Verdana" w:hAnsi="Verdana"/>
          <w:bCs/>
          <w:sz w:val="18"/>
          <w:szCs w:val="18"/>
        </w:rPr>
        <w:lastRenderedPageBreak/>
        <w:t xml:space="preserve">seal. Even still, fighting back against these illegal practices is the only way we can stop this,” Hagar said.  </w:t>
      </w:r>
      <w:r w:rsidR="00016561">
        <w:rPr>
          <w:rFonts w:ascii="Verdana" w:hAnsi="Verdana"/>
          <w:bCs/>
          <w:sz w:val="18"/>
          <w:szCs w:val="18"/>
        </w:rPr>
        <w:br/>
      </w:r>
      <w:r w:rsidR="00016561">
        <w:rPr>
          <w:rFonts w:ascii="Verdana" w:hAnsi="Verdana"/>
          <w:bCs/>
          <w:sz w:val="18"/>
          <w:szCs w:val="18"/>
        </w:rPr>
        <w:br/>
      </w:r>
      <w:r w:rsidRPr="005F25C6">
        <w:rPr>
          <w:rFonts w:ascii="Verdana" w:hAnsi="Verdana"/>
          <w:bCs/>
          <w:sz w:val="18"/>
          <w:szCs w:val="18"/>
        </w:rPr>
        <w:t>Here’s to those appraisers who refuse to compromise and “won’t back down.”</w:t>
      </w:r>
    </w:p>
    <w:p w:rsidR="007805E1" w:rsidRPr="007805E1" w:rsidRDefault="007805E1" w:rsidP="007805E1">
      <w:pPr>
        <w:rPr>
          <w:rFonts w:ascii="Verdana" w:hAnsi="Verdana"/>
          <w:sz w:val="18"/>
          <w:szCs w:val="18"/>
        </w:rPr>
      </w:pPr>
    </w:p>
    <w:p w:rsidR="007805E1" w:rsidRPr="007805E1" w:rsidRDefault="00016561" w:rsidP="007805E1">
      <w:pPr>
        <w:pStyle w:val="NormalWeb"/>
        <w:spacing w:before="90" w:beforeAutospacing="0" w:after="180" w:afterAutospacing="0" w:line="270" w:lineRule="atLeast"/>
        <w:rPr>
          <w:rStyle w:val="Hyperlink"/>
          <w:rFonts w:ascii="Verdana" w:hAnsi="Verdana"/>
          <w:sz w:val="18"/>
          <w:szCs w:val="18"/>
        </w:rPr>
      </w:pPr>
      <w:r>
        <w:rPr>
          <w:rStyle w:val="Strong"/>
          <w:rFonts w:ascii="Verdana" w:hAnsi="Verdana"/>
          <w:color w:val="FF0000"/>
          <w:sz w:val="18"/>
          <w:szCs w:val="18"/>
        </w:rPr>
        <w:t>This November</w:t>
      </w:r>
      <w:r w:rsidR="007805E1" w:rsidRPr="007805E1">
        <w:rPr>
          <w:rStyle w:val="Strong"/>
          <w:rFonts w:ascii="Verdana" w:hAnsi="Verdana"/>
          <w:color w:val="FF0000"/>
          <w:sz w:val="18"/>
          <w:szCs w:val="18"/>
        </w:rPr>
        <w:t xml:space="preserve"> </w:t>
      </w:r>
      <w:r w:rsidR="007805E1" w:rsidRPr="007805E1">
        <w:rPr>
          <w:rFonts w:ascii="Verdana" w:hAnsi="Verdana"/>
          <w:b/>
          <w:bCs/>
          <w:color w:val="FF0000"/>
          <w:sz w:val="18"/>
          <w:szCs w:val="18"/>
        </w:rPr>
        <w:br/>
      </w:r>
      <w:r w:rsidR="00B742E9">
        <w:rPr>
          <w:rStyle w:val="Strong"/>
          <w:rFonts w:ascii="Verdana" w:hAnsi="Verdana"/>
          <w:sz w:val="18"/>
          <w:szCs w:val="18"/>
        </w:rPr>
        <w:t>Date</w:t>
      </w:r>
      <w:r w:rsidR="007805E1" w:rsidRPr="007805E1">
        <w:rPr>
          <w:rStyle w:val="Strong"/>
          <w:rFonts w:ascii="Verdana" w:hAnsi="Verdana"/>
          <w:sz w:val="18"/>
          <w:szCs w:val="18"/>
        </w:rPr>
        <w:t xml:space="preserve">: </w:t>
      </w:r>
      <w:r>
        <w:rPr>
          <w:rFonts w:ascii="Verdana" w:hAnsi="Verdana"/>
          <w:sz w:val="18"/>
          <w:szCs w:val="18"/>
        </w:rPr>
        <w:t>November 10</w:t>
      </w:r>
      <w:r w:rsidRPr="00016561">
        <w:rPr>
          <w:rFonts w:ascii="Verdana" w:hAnsi="Verdana"/>
          <w:sz w:val="18"/>
          <w:szCs w:val="18"/>
          <w:vertAlign w:val="superscript"/>
        </w:rPr>
        <w:t>th</w:t>
      </w:r>
      <w:r>
        <w:rPr>
          <w:rFonts w:ascii="Verdana" w:hAnsi="Verdana"/>
          <w:sz w:val="18"/>
          <w:szCs w:val="18"/>
        </w:rPr>
        <w:t xml:space="preserve"> and 17th</w:t>
      </w:r>
      <w:r w:rsidR="007805E1" w:rsidRPr="007805E1">
        <w:rPr>
          <w:rFonts w:ascii="Verdana" w:hAnsi="Verdana"/>
          <w:b/>
          <w:bCs/>
          <w:color w:val="FF0000"/>
          <w:sz w:val="18"/>
          <w:szCs w:val="18"/>
        </w:rPr>
        <w:br/>
      </w:r>
      <w:hyperlink r:id="rId8" w:history="1">
        <w:r w:rsidRPr="00016561">
          <w:rPr>
            <w:rStyle w:val="Hyperlink"/>
            <w:rFonts w:ascii="Verdana" w:hAnsi="Verdana"/>
            <w:b/>
            <w:bCs/>
            <w:sz w:val="18"/>
            <w:szCs w:val="18"/>
          </w:rPr>
          <w:t>Appraiser Adjustments: Solving Common Problems</w:t>
        </w:r>
      </w:hyperlink>
      <w:r w:rsidRPr="00016561">
        <w:rPr>
          <w:rStyle w:val="Strong"/>
          <w:rFonts w:ascii="Verdana" w:hAnsi="Verdana"/>
          <w:sz w:val="18"/>
          <w:szCs w:val="18"/>
        </w:rPr>
        <w:t xml:space="preserve"> - </w:t>
      </w:r>
      <w:r>
        <w:rPr>
          <w:rFonts w:ascii="Verdana" w:hAnsi="Verdana"/>
          <w:sz w:val="18"/>
          <w:szCs w:val="18"/>
        </w:rPr>
        <w:t>By</w:t>
      </w:r>
      <w:r w:rsidRPr="00016561">
        <w:rPr>
          <w:rFonts w:ascii="Verdana" w:hAnsi="Verdana"/>
          <w:sz w:val="18"/>
          <w:szCs w:val="18"/>
        </w:rPr>
        <w:t xml:space="preserve"> Richard Hagar, SRA</w:t>
      </w:r>
      <w:r w:rsidR="007805E1" w:rsidRPr="007805E1">
        <w:rPr>
          <w:rFonts w:ascii="Verdana" w:hAnsi="Verdana"/>
          <w:sz w:val="18"/>
          <w:szCs w:val="18"/>
        </w:rPr>
        <w:br/>
      </w:r>
      <w:r w:rsidR="007805E1" w:rsidRPr="007805E1">
        <w:rPr>
          <w:rFonts w:ascii="Verdana" w:hAnsi="Verdana"/>
          <w:sz w:val="18"/>
          <w:szCs w:val="18"/>
        </w:rPr>
        <w:br/>
        <w:t xml:space="preserve">CU </w:t>
      </w:r>
      <w:r w:rsidRPr="00016561">
        <w:rPr>
          <w:rFonts w:ascii="Verdana" w:hAnsi="Verdana"/>
          <w:sz w:val="18"/>
          <w:szCs w:val="18"/>
        </w:rPr>
        <w:t xml:space="preserve">Failure to provide proof and analysis to support your adjustments means a rough road from now on out. In this upcoming two-part webinar, Richard Hagar, SRA shares the most common methods that can be used for determining adjustments and shows examples of how it applies to numerous components throughout an appraisal. Hagar will work through many examples, explaining how to calculate adjustments in the "real world." Learn to apply regression analysis within different neighborhoods as well as how to use the right adjustment method on duplexes, multifamily, </w:t>
      </w:r>
      <w:r>
        <w:rPr>
          <w:rFonts w:ascii="Verdana" w:hAnsi="Verdana"/>
          <w:sz w:val="18"/>
          <w:szCs w:val="18"/>
        </w:rPr>
        <w:t>condos, and waterfront property</w:t>
      </w:r>
      <w:r w:rsidR="007805E1" w:rsidRPr="007805E1">
        <w:rPr>
          <w:rFonts w:ascii="Verdana" w:hAnsi="Verdana"/>
          <w:sz w:val="18"/>
          <w:szCs w:val="18"/>
        </w:rPr>
        <w:t xml:space="preserve">. </w:t>
      </w:r>
      <w:bookmarkStart w:id="0" w:name="_GoBack"/>
      <w:bookmarkEnd w:id="0"/>
      <w:r w:rsidR="007805E1" w:rsidRPr="007805E1">
        <w:rPr>
          <w:rFonts w:ascii="Verdana" w:hAnsi="Verdana"/>
          <w:b/>
          <w:bCs/>
          <w:sz w:val="18"/>
          <w:szCs w:val="18"/>
        </w:rPr>
        <w:br/>
      </w:r>
      <w:r w:rsidR="007805E1" w:rsidRPr="007805E1">
        <w:rPr>
          <w:rFonts w:ascii="Verdana" w:hAnsi="Verdana"/>
          <w:color w:val="1C1C61"/>
          <w:sz w:val="18"/>
          <w:szCs w:val="18"/>
        </w:rPr>
        <w:fldChar w:fldCharType="begin"/>
      </w:r>
      <w:r w:rsidR="007805E1" w:rsidRPr="007805E1">
        <w:rPr>
          <w:rFonts w:ascii="Verdana" w:hAnsi="Verdana"/>
          <w:color w:val="1C1C61"/>
          <w:sz w:val="18"/>
          <w:szCs w:val="18"/>
        </w:rPr>
        <w:instrText xml:space="preserve"> HYPERLINK "https://attendee.gotowebinar.com/register/833975539998961409" </w:instrText>
      </w:r>
      <w:r w:rsidR="007805E1" w:rsidRPr="007805E1">
        <w:rPr>
          <w:rFonts w:ascii="Verdana" w:hAnsi="Verdana"/>
          <w:color w:val="1C1C61"/>
          <w:sz w:val="18"/>
          <w:szCs w:val="18"/>
        </w:rPr>
        <w:fldChar w:fldCharType="separate"/>
      </w:r>
    </w:p>
    <w:p w:rsidR="007805E1" w:rsidRPr="00DF6C94" w:rsidRDefault="007805E1" w:rsidP="00DF6C94">
      <w:pPr>
        <w:pStyle w:val="NormalWeb"/>
        <w:spacing w:before="225" w:beforeAutospacing="0" w:after="120" w:afterAutospacing="0" w:line="315" w:lineRule="atLeast"/>
        <w:rPr>
          <w:rFonts w:ascii="Verdana" w:hAnsi="Verdana"/>
          <w:color w:val="1C1C61"/>
          <w:sz w:val="18"/>
          <w:szCs w:val="18"/>
        </w:rPr>
      </w:pPr>
      <w:r w:rsidRPr="007805E1">
        <w:rPr>
          <w:rStyle w:val="Strong"/>
          <w:rFonts w:ascii="Verdana" w:hAnsi="Verdana"/>
          <w:color w:val="000000"/>
          <w:sz w:val="18"/>
          <w:szCs w:val="18"/>
        </w:rPr>
        <w:t>Fall Webinars</w:t>
      </w:r>
      <w:r w:rsidRPr="007805E1">
        <w:rPr>
          <w:rFonts w:ascii="Verdana" w:hAnsi="Verdana"/>
          <w:color w:val="1C1C61"/>
          <w:sz w:val="18"/>
          <w:szCs w:val="18"/>
        </w:rPr>
        <w:fldChar w:fldCharType="end"/>
      </w:r>
      <w:r w:rsidRPr="007805E1">
        <w:rPr>
          <w:rFonts w:ascii="Verdana" w:hAnsi="Verdana"/>
          <w:b/>
          <w:bCs/>
          <w:color w:val="000000"/>
          <w:sz w:val="18"/>
          <w:szCs w:val="18"/>
        </w:rPr>
        <w:br/>
      </w:r>
      <w:r w:rsidRPr="007805E1">
        <w:rPr>
          <w:rStyle w:val="Strong"/>
          <w:rFonts w:ascii="Verdana" w:hAnsi="Verdana"/>
          <w:color w:val="1C1C61"/>
          <w:sz w:val="18"/>
          <w:szCs w:val="18"/>
        </w:rPr>
        <w:t xml:space="preserve"> • </w:t>
      </w:r>
      <w:hyperlink r:id="rId9" w:history="1">
        <w:r w:rsidRPr="007805E1">
          <w:rPr>
            <w:rStyle w:val="Hyperlink"/>
            <w:rFonts w:ascii="Verdana" w:hAnsi="Verdana"/>
            <w:sz w:val="18"/>
            <w:szCs w:val="18"/>
          </w:rPr>
          <w:t>Fannie Mae and Q&amp;C Ratings</w:t>
        </w:r>
      </w:hyperlink>
      <w:r w:rsidRPr="007805E1">
        <w:rPr>
          <w:rStyle w:val="Strong"/>
          <w:rFonts w:ascii="Verdana" w:hAnsi="Verdana"/>
          <w:color w:val="1C1C61"/>
          <w:sz w:val="18"/>
          <w:szCs w:val="18"/>
        </w:rPr>
        <w:t xml:space="preserve"> </w:t>
      </w:r>
      <w:r w:rsidRPr="007805E1">
        <w:rPr>
          <w:rFonts w:ascii="Verdana" w:hAnsi="Verdana"/>
          <w:color w:val="1C1C61"/>
          <w:sz w:val="18"/>
          <w:szCs w:val="18"/>
        </w:rPr>
        <w:t>- Richard Hagar, SRA (Oct. 2 parts)</w:t>
      </w:r>
      <w:r w:rsidRPr="007805E1">
        <w:rPr>
          <w:rFonts w:ascii="Verdana" w:hAnsi="Verdana"/>
          <w:b/>
          <w:bCs/>
          <w:color w:val="1C1C61"/>
          <w:sz w:val="18"/>
          <w:szCs w:val="18"/>
        </w:rPr>
        <w:br/>
      </w:r>
      <w:r w:rsidRPr="007805E1">
        <w:rPr>
          <w:rStyle w:val="Strong"/>
          <w:rFonts w:ascii="Verdana" w:hAnsi="Verdana"/>
          <w:color w:val="000000"/>
          <w:sz w:val="18"/>
          <w:szCs w:val="18"/>
        </w:rPr>
        <w:t> </w:t>
      </w:r>
      <w:r w:rsidRPr="007805E1">
        <w:rPr>
          <w:rStyle w:val="Strong"/>
          <w:rFonts w:ascii="Verdana" w:hAnsi="Verdana"/>
          <w:color w:val="1C1C61"/>
          <w:sz w:val="18"/>
          <w:szCs w:val="18"/>
        </w:rPr>
        <w:t xml:space="preserve">• </w:t>
      </w:r>
      <w:hyperlink r:id="rId10" w:history="1">
        <w:r w:rsidRPr="007805E1">
          <w:rPr>
            <w:rStyle w:val="Hyperlink"/>
            <w:rFonts w:ascii="Verdana" w:hAnsi="Verdana"/>
            <w:sz w:val="18"/>
            <w:szCs w:val="18"/>
          </w:rPr>
          <w:t xml:space="preserve">Appraisal Adjustments - Solving Common Problems </w:t>
        </w:r>
      </w:hyperlink>
      <w:r w:rsidRPr="007805E1">
        <w:rPr>
          <w:rFonts w:ascii="Verdana" w:hAnsi="Verdana"/>
          <w:color w:val="1C1C61"/>
          <w:sz w:val="18"/>
          <w:szCs w:val="18"/>
        </w:rPr>
        <w:t>- Richard Hagar, SRA (Nov. 2 parts)</w:t>
      </w:r>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1" w:history="1">
        <w:r w:rsidRPr="007805E1">
          <w:rPr>
            <w:rStyle w:val="Hyperlink"/>
            <w:rFonts w:ascii="Verdana" w:hAnsi="Verdana"/>
            <w:sz w:val="18"/>
            <w:szCs w:val="18"/>
          </w:rPr>
          <w:t>How to Create a Proper Reconciliation - Tim Andersen, MAI (available now)</w:t>
        </w:r>
      </w:hyperlink>
      <w:r w:rsidRPr="007805E1">
        <w:rPr>
          <w:rFonts w:ascii="Verdana" w:hAnsi="Verdana"/>
          <w:b/>
          <w:bCs/>
          <w:color w:val="1C1C61"/>
          <w:sz w:val="18"/>
          <w:szCs w:val="18"/>
        </w:rPr>
        <w:br/>
      </w:r>
      <w:r w:rsidRPr="007805E1">
        <w:rPr>
          <w:rStyle w:val="Strong"/>
          <w:rFonts w:ascii="Verdana" w:hAnsi="Verdana"/>
          <w:color w:val="1C1C61"/>
          <w:sz w:val="18"/>
          <w:szCs w:val="18"/>
        </w:rPr>
        <w:t xml:space="preserve"> • </w:t>
      </w:r>
      <w:hyperlink r:id="rId12" w:history="1">
        <w:r w:rsidRPr="007805E1">
          <w:rPr>
            <w:rStyle w:val="Hyperlink"/>
            <w:rFonts w:ascii="Verdana" w:hAnsi="Verdana"/>
            <w:sz w:val="18"/>
            <w:szCs w:val="18"/>
          </w:rPr>
          <w:t>Claims, Complaints, and E&amp;O Insurance</w:t>
        </w:r>
      </w:hyperlink>
      <w:r w:rsidRPr="007805E1">
        <w:rPr>
          <w:rStyle w:val="Strong"/>
          <w:rFonts w:ascii="Verdana" w:hAnsi="Verdana"/>
          <w:color w:val="1C1C61"/>
          <w:sz w:val="18"/>
          <w:szCs w:val="18"/>
        </w:rPr>
        <w:t xml:space="preserve"> - </w:t>
      </w:r>
      <w:r w:rsidRPr="007805E1">
        <w:rPr>
          <w:rStyle w:val="Strong"/>
          <w:rFonts w:ascii="Verdana" w:hAnsi="Verdana"/>
          <w:b w:val="0"/>
          <w:bCs w:val="0"/>
          <w:color w:val="1C1C61"/>
          <w:sz w:val="18"/>
          <w:szCs w:val="18"/>
        </w:rPr>
        <w:t>David Brauner (available now)</w:t>
      </w:r>
      <w:r w:rsidRPr="007805E1">
        <w:rPr>
          <w:rFonts w:ascii="Verdana" w:hAnsi="Verdana"/>
          <w:color w:val="1C1C61"/>
          <w:sz w:val="18"/>
          <w:szCs w:val="18"/>
        </w:rPr>
        <w:br/>
      </w:r>
      <w:r w:rsidRPr="007805E1">
        <w:rPr>
          <w:rFonts w:ascii="Verdana" w:hAnsi="Verdana"/>
          <w:b/>
          <w:bCs/>
          <w:color w:val="1C1C61"/>
          <w:sz w:val="18"/>
          <w:szCs w:val="18"/>
        </w:rPr>
        <w:br/>
      </w:r>
      <w:hyperlink r:id="rId13" w:history="1">
        <w:r w:rsidRPr="007805E1">
          <w:rPr>
            <w:rStyle w:val="Hyperlink"/>
            <w:rFonts w:ascii="Verdana" w:hAnsi="Verdana"/>
            <w:b/>
            <w:bCs/>
            <w:sz w:val="18"/>
            <w:szCs w:val="18"/>
          </w:rPr>
          <w:t>Season Ticket:</w:t>
        </w:r>
      </w:hyperlink>
      <w:r w:rsidRPr="007805E1">
        <w:rPr>
          <w:rStyle w:val="Strong"/>
          <w:rFonts w:ascii="Verdana" w:hAnsi="Verdana"/>
          <w:color w:val="1C1C61"/>
          <w:sz w:val="18"/>
          <w:szCs w:val="18"/>
        </w:rPr>
        <w:t xml:space="preserve"> $129 </w:t>
      </w:r>
      <w:r w:rsidRPr="007805E1">
        <w:rPr>
          <w:rFonts w:ascii="Verdana" w:hAnsi="Verdana"/>
          <w:color w:val="1C1C61"/>
          <w:sz w:val="18"/>
          <w:szCs w:val="18"/>
        </w:rPr>
        <w:t>(Save 35% on all six webinars)</w:t>
      </w:r>
      <w:r w:rsidRPr="007805E1">
        <w:rPr>
          <w:rFonts w:ascii="Verdana" w:hAnsi="Verdana"/>
          <w:color w:val="1C1C61"/>
          <w:sz w:val="18"/>
          <w:szCs w:val="18"/>
        </w:rPr>
        <w:br/>
      </w:r>
      <w:r w:rsidRPr="007805E1">
        <w:rPr>
          <w:rStyle w:val="Strong"/>
          <w:rFonts w:ascii="Verdana" w:hAnsi="Verdana"/>
          <w:color w:val="FF0000"/>
          <w:sz w:val="18"/>
          <w:szCs w:val="18"/>
        </w:rPr>
        <w:t>Save $78:</w:t>
      </w:r>
      <w:r w:rsidRPr="007805E1">
        <w:rPr>
          <w:rFonts w:ascii="Verdana" w:hAnsi="Verdana"/>
          <w:color w:val="1C1C61"/>
          <w:sz w:val="18"/>
          <w:szCs w:val="18"/>
        </w:rPr>
        <w:t xml:space="preserve"> </w:t>
      </w:r>
      <w:hyperlink r:id="rId14" w:history="1">
        <w:r w:rsidRPr="007805E1">
          <w:rPr>
            <w:rStyle w:val="Hyperlink"/>
            <w:rFonts w:ascii="Verdana" w:hAnsi="Verdana"/>
            <w:b/>
            <w:bCs/>
            <w:sz w:val="18"/>
            <w:szCs w:val="18"/>
          </w:rPr>
          <w:t>Get the Season Ticket</w:t>
        </w:r>
      </w:hyperlink>
    </w:p>
    <w:p w:rsidR="007805E1" w:rsidRPr="007805E1" w:rsidRDefault="007805E1" w:rsidP="007805E1">
      <w:pPr>
        <w:rPr>
          <w:rFonts w:ascii="Verdana" w:hAnsi="Verdana"/>
          <w:sz w:val="18"/>
          <w:szCs w:val="18"/>
        </w:rPr>
      </w:pPr>
    </w:p>
    <w:p w:rsidR="00F878FE" w:rsidRPr="007805E1" w:rsidRDefault="00F878FE" w:rsidP="007805E1">
      <w:pPr>
        <w:rPr>
          <w:rFonts w:ascii="Verdana" w:hAnsi="Verdana"/>
          <w:sz w:val="18"/>
          <w:szCs w:val="18"/>
        </w:rPr>
      </w:pPr>
      <w:r w:rsidRPr="007805E1">
        <w:rPr>
          <w:rFonts w:ascii="Verdana" w:hAnsi="Verdana"/>
          <w:sz w:val="18"/>
          <w:szCs w:val="18"/>
        </w:rPr>
        <w:br/>
      </w:r>
      <w:r w:rsidRPr="007805E1">
        <w:rPr>
          <w:rFonts w:ascii="Verdana" w:hAnsi="Verdana"/>
          <w:b/>
          <w:sz w:val="18"/>
          <w:szCs w:val="18"/>
        </w:rPr>
        <w:t>About the Author</w:t>
      </w:r>
      <w:r w:rsidR="00FA7224">
        <w:rPr>
          <w:rFonts w:ascii="Verdana" w:hAnsi="Verdana"/>
          <w:sz w:val="18"/>
          <w:szCs w:val="18"/>
        </w:rPr>
        <w:br/>
      </w:r>
      <w:r w:rsidR="00597017" w:rsidRPr="00597017">
        <w:rPr>
          <w:rFonts w:ascii="Verdana" w:hAnsi="Verdana"/>
          <w:sz w:val="18"/>
          <w:szCs w:val="18"/>
        </w:rPr>
        <w:t>Isaac Peck is the Editor of Working RE Magazine and Marketing Coordinator at OREP.org, a leading provider of E&amp;O Insurance for appraisers, inspectors, and other real estate professionals in 49 states. He received his Bachelors in Business Management at San Diego State University. He can be contacted at Isaac@orep.org or (888) 347-5273.</w:t>
      </w:r>
    </w:p>
    <w:p w:rsidR="00BD47A8" w:rsidRPr="007805E1" w:rsidRDefault="008E358A" w:rsidP="00F878FE">
      <w:pPr>
        <w:rPr>
          <w:rFonts w:ascii="Verdana" w:hAnsi="Verdana"/>
          <w:i/>
          <w:sz w:val="18"/>
          <w:szCs w:val="18"/>
        </w:rPr>
      </w:pPr>
      <w:r w:rsidRPr="007805E1">
        <w:rPr>
          <w:rFonts w:ascii="Verdana" w:hAnsi="Verdana" w:cs="Arial"/>
          <w:b/>
          <w:bCs/>
          <w:color w:val="FF0000"/>
          <w:sz w:val="18"/>
          <w:szCs w:val="18"/>
          <w:bdr w:val="none" w:sz="0" w:space="0" w:color="auto" w:frame="1"/>
        </w:rPr>
        <w:br/>
      </w:r>
      <w:r w:rsidR="008C5DCE">
        <w:rPr>
          <w:rFonts w:ascii="Verdana" w:hAnsi="Verdana"/>
          <w:i/>
          <w:sz w:val="18"/>
          <w:szCs w:val="18"/>
        </w:rPr>
        <w:br/>
      </w:r>
    </w:p>
    <w:p w:rsidR="00A312D7" w:rsidRPr="007805E1" w:rsidRDefault="00A312D7" w:rsidP="004E3409">
      <w:pPr>
        <w:rPr>
          <w:rFonts w:ascii="Verdana" w:hAnsi="Verdana" w:cs="Arial"/>
          <w:color w:val="2C2E2E"/>
          <w:sz w:val="18"/>
          <w:szCs w:val="18"/>
        </w:rPr>
      </w:pPr>
    </w:p>
    <w:p w:rsidR="00212664" w:rsidRPr="007805E1" w:rsidRDefault="00212664" w:rsidP="008E358A">
      <w:pPr>
        <w:pStyle w:val="NormalWeb"/>
        <w:spacing w:before="0" w:beforeAutospacing="0" w:after="225" w:afterAutospacing="0" w:line="300" w:lineRule="atLeast"/>
        <w:rPr>
          <w:rFonts w:ascii="Verdana" w:hAnsi="Verdana" w:cs="Arial"/>
          <w:color w:val="2C2E2E"/>
          <w:sz w:val="18"/>
          <w:szCs w:val="18"/>
        </w:rPr>
      </w:pPr>
    </w:p>
    <w:sectPr w:rsidR="00212664" w:rsidRPr="007805E1" w:rsidSect="00E22CA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6BE0"/>
    <w:multiLevelType w:val="multilevel"/>
    <w:tmpl w:val="62B4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E25F5"/>
    <w:multiLevelType w:val="hybridMultilevel"/>
    <w:tmpl w:val="E926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27DB8"/>
    <w:multiLevelType w:val="hybridMultilevel"/>
    <w:tmpl w:val="B8BC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14CED"/>
    <w:multiLevelType w:val="hybridMultilevel"/>
    <w:tmpl w:val="AC04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13191D"/>
    <w:multiLevelType w:val="multilevel"/>
    <w:tmpl w:val="5970B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6BA63E9"/>
    <w:multiLevelType w:val="hybridMultilevel"/>
    <w:tmpl w:val="7686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8F7709"/>
    <w:multiLevelType w:val="hybridMultilevel"/>
    <w:tmpl w:val="B62C4362"/>
    <w:lvl w:ilvl="0" w:tplc="420C36EE">
      <w:numFmt w:val="bullet"/>
      <w:lvlText w:val="-"/>
      <w:lvlJc w:val="left"/>
      <w:pPr>
        <w:ind w:left="6120" w:hanging="360"/>
      </w:pPr>
      <w:rPr>
        <w:rFonts w:ascii="Arial" w:eastAsia="Times New Roman" w:hAnsi="Arial" w:cs="Arial" w:hint="default"/>
        <w:b w:val="0"/>
        <w:i/>
        <w:color w:val="1F497D"/>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nsid w:val="6D07004B"/>
    <w:multiLevelType w:val="hybridMultilevel"/>
    <w:tmpl w:val="E782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01E4B"/>
    <w:multiLevelType w:val="hybridMultilevel"/>
    <w:tmpl w:val="39F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A5"/>
    <w:rsid w:val="0000164B"/>
    <w:rsid w:val="000050C7"/>
    <w:rsid w:val="00011EDE"/>
    <w:rsid w:val="00012A73"/>
    <w:rsid w:val="00012C8E"/>
    <w:rsid w:val="00016561"/>
    <w:rsid w:val="00024901"/>
    <w:rsid w:val="00027619"/>
    <w:rsid w:val="00034120"/>
    <w:rsid w:val="00041BA9"/>
    <w:rsid w:val="000526F5"/>
    <w:rsid w:val="000549A1"/>
    <w:rsid w:val="0006087F"/>
    <w:rsid w:val="000643DB"/>
    <w:rsid w:val="00077D74"/>
    <w:rsid w:val="00094283"/>
    <w:rsid w:val="0009697D"/>
    <w:rsid w:val="000A53A2"/>
    <w:rsid w:val="000A5FC1"/>
    <w:rsid w:val="000B35B8"/>
    <w:rsid w:val="000B5B1D"/>
    <w:rsid w:val="000D212E"/>
    <w:rsid w:val="000E415A"/>
    <w:rsid w:val="0010295B"/>
    <w:rsid w:val="001038EE"/>
    <w:rsid w:val="00110E3A"/>
    <w:rsid w:val="001227B6"/>
    <w:rsid w:val="00141D52"/>
    <w:rsid w:val="00146A75"/>
    <w:rsid w:val="0015361B"/>
    <w:rsid w:val="0016071D"/>
    <w:rsid w:val="00165206"/>
    <w:rsid w:val="00175841"/>
    <w:rsid w:val="0017657A"/>
    <w:rsid w:val="00176AA1"/>
    <w:rsid w:val="0018164E"/>
    <w:rsid w:val="0018186B"/>
    <w:rsid w:val="001B123B"/>
    <w:rsid w:val="001B4EBC"/>
    <w:rsid w:val="001C1737"/>
    <w:rsid w:val="001D2FD0"/>
    <w:rsid w:val="001E2830"/>
    <w:rsid w:val="001E3E0E"/>
    <w:rsid w:val="002042A3"/>
    <w:rsid w:val="00212664"/>
    <w:rsid w:val="00215C26"/>
    <w:rsid w:val="00227DC1"/>
    <w:rsid w:val="00244D6E"/>
    <w:rsid w:val="00253E43"/>
    <w:rsid w:val="0025407C"/>
    <w:rsid w:val="0026261B"/>
    <w:rsid w:val="00281C8A"/>
    <w:rsid w:val="002B004E"/>
    <w:rsid w:val="002B4F26"/>
    <w:rsid w:val="002C403B"/>
    <w:rsid w:val="002E2139"/>
    <w:rsid w:val="002E7D96"/>
    <w:rsid w:val="0030105F"/>
    <w:rsid w:val="00304465"/>
    <w:rsid w:val="003231B4"/>
    <w:rsid w:val="00323992"/>
    <w:rsid w:val="00324B33"/>
    <w:rsid w:val="003444ED"/>
    <w:rsid w:val="00345730"/>
    <w:rsid w:val="0035012D"/>
    <w:rsid w:val="003520E6"/>
    <w:rsid w:val="0035709D"/>
    <w:rsid w:val="00357DA9"/>
    <w:rsid w:val="00372103"/>
    <w:rsid w:val="00377537"/>
    <w:rsid w:val="00380188"/>
    <w:rsid w:val="00380F7F"/>
    <w:rsid w:val="003854ED"/>
    <w:rsid w:val="003A4AD0"/>
    <w:rsid w:val="003A565D"/>
    <w:rsid w:val="003B0715"/>
    <w:rsid w:val="003C2A7A"/>
    <w:rsid w:val="003C32ED"/>
    <w:rsid w:val="003D7860"/>
    <w:rsid w:val="003E445B"/>
    <w:rsid w:val="003E4D13"/>
    <w:rsid w:val="004019D4"/>
    <w:rsid w:val="00403906"/>
    <w:rsid w:val="004058DB"/>
    <w:rsid w:val="0040697D"/>
    <w:rsid w:val="00414420"/>
    <w:rsid w:val="0041652C"/>
    <w:rsid w:val="00432AA8"/>
    <w:rsid w:val="004351D9"/>
    <w:rsid w:val="00450394"/>
    <w:rsid w:val="00482864"/>
    <w:rsid w:val="0048360B"/>
    <w:rsid w:val="00491872"/>
    <w:rsid w:val="004A40D0"/>
    <w:rsid w:val="004B0254"/>
    <w:rsid w:val="004B0B90"/>
    <w:rsid w:val="004B0EF0"/>
    <w:rsid w:val="004B66AC"/>
    <w:rsid w:val="004D267E"/>
    <w:rsid w:val="004D4F12"/>
    <w:rsid w:val="004D5909"/>
    <w:rsid w:val="004E237C"/>
    <w:rsid w:val="004E25BB"/>
    <w:rsid w:val="004E2738"/>
    <w:rsid w:val="004E3409"/>
    <w:rsid w:val="004F059E"/>
    <w:rsid w:val="004F0E35"/>
    <w:rsid w:val="004F54A7"/>
    <w:rsid w:val="004F5687"/>
    <w:rsid w:val="004F5F94"/>
    <w:rsid w:val="00500956"/>
    <w:rsid w:val="00507D93"/>
    <w:rsid w:val="00510D5C"/>
    <w:rsid w:val="00517B3E"/>
    <w:rsid w:val="00523010"/>
    <w:rsid w:val="005249BE"/>
    <w:rsid w:val="00531F16"/>
    <w:rsid w:val="0053213D"/>
    <w:rsid w:val="00535EDC"/>
    <w:rsid w:val="00540522"/>
    <w:rsid w:val="00544DFD"/>
    <w:rsid w:val="00556D5E"/>
    <w:rsid w:val="005610DF"/>
    <w:rsid w:val="00563B81"/>
    <w:rsid w:val="00566113"/>
    <w:rsid w:val="00572C04"/>
    <w:rsid w:val="00574595"/>
    <w:rsid w:val="0059576C"/>
    <w:rsid w:val="00597017"/>
    <w:rsid w:val="005B2890"/>
    <w:rsid w:val="005C05E0"/>
    <w:rsid w:val="005C618F"/>
    <w:rsid w:val="005C7FDE"/>
    <w:rsid w:val="005E46B9"/>
    <w:rsid w:val="005E5025"/>
    <w:rsid w:val="005F13D3"/>
    <w:rsid w:val="005F25C6"/>
    <w:rsid w:val="005F3F76"/>
    <w:rsid w:val="00613577"/>
    <w:rsid w:val="00613F38"/>
    <w:rsid w:val="0063455F"/>
    <w:rsid w:val="00641B78"/>
    <w:rsid w:val="00642DAE"/>
    <w:rsid w:val="00645B6F"/>
    <w:rsid w:val="006463C2"/>
    <w:rsid w:val="00653428"/>
    <w:rsid w:val="00660C64"/>
    <w:rsid w:val="00666586"/>
    <w:rsid w:val="0066759D"/>
    <w:rsid w:val="00676365"/>
    <w:rsid w:val="006877CC"/>
    <w:rsid w:val="00695D48"/>
    <w:rsid w:val="00696B7D"/>
    <w:rsid w:val="006A09ED"/>
    <w:rsid w:val="006A5CFE"/>
    <w:rsid w:val="006A7124"/>
    <w:rsid w:val="006B59FD"/>
    <w:rsid w:val="006C4E5B"/>
    <w:rsid w:val="006D2B4F"/>
    <w:rsid w:val="006D5CDF"/>
    <w:rsid w:val="006D69FE"/>
    <w:rsid w:val="006E7170"/>
    <w:rsid w:val="006F0D54"/>
    <w:rsid w:val="006F216F"/>
    <w:rsid w:val="006F2DC1"/>
    <w:rsid w:val="006F3F74"/>
    <w:rsid w:val="006F6A48"/>
    <w:rsid w:val="006F7108"/>
    <w:rsid w:val="00700238"/>
    <w:rsid w:val="007028BE"/>
    <w:rsid w:val="007064B1"/>
    <w:rsid w:val="00720C58"/>
    <w:rsid w:val="007559CF"/>
    <w:rsid w:val="0077195E"/>
    <w:rsid w:val="007805E1"/>
    <w:rsid w:val="00782667"/>
    <w:rsid w:val="0078283E"/>
    <w:rsid w:val="0078539A"/>
    <w:rsid w:val="007B7772"/>
    <w:rsid w:val="007C0B11"/>
    <w:rsid w:val="007C14C9"/>
    <w:rsid w:val="007D1073"/>
    <w:rsid w:val="007D5F96"/>
    <w:rsid w:val="007D66C8"/>
    <w:rsid w:val="007F05B7"/>
    <w:rsid w:val="007F2E90"/>
    <w:rsid w:val="00802588"/>
    <w:rsid w:val="00806CC3"/>
    <w:rsid w:val="008075FB"/>
    <w:rsid w:val="0080765A"/>
    <w:rsid w:val="008264F0"/>
    <w:rsid w:val="00827041"/>
    <w:rsid w:val="00831E86"/>
    <w:rsid w:val="00835C0B"/>
    <w:rsid w:val="008504A4"/>
    <w:rsid w:val="0085138B"/>
    <w:rsid w:val="008704F1"/>
    <w:rsid w:val="00881BE1"/>
    <w:rsid w:val="00883669"/>
    <w:rsid w:val="00883F95"/>
    <w:rsid w:val="008A613A"/>
    <w:rsid w:val="008A72F2"/>
    <w:rsid w:val="008B5CD2"/>
    <w:rsid w:val="008B69D7"/>
    <w:rsid w:val="008C5DCE"/>
    <w:rsid w:val="008D2F8E"/>
    <w:rsid w:val="008E358A"/>
    <w:rsid w:val="008E4A69"/>
    <w:rsid w:val="008E76C0"/>
    <w:rsid w:val="008F0231"/>
    <w:rsid w:val="008F1027"/>
    <w:rsid w:val="008F2717"/>
    <w:rsid w:val="008F58AD"/>
    <w:rsid w:val="008F7B36"/>
    <w:rsid w:val="00902016"/>
    <w:rsid w:val="009047ED"/>
    <w:rsid w:val="009073F6"/>
    <w:rsid w:val="009075F5"/>
    <w:rsid w:val="00914F2B"/>
    <w:rsid w:val="009164AA"/>
    <w:rsid w:val="0092022B"/>
    <w:rsid w:val="00920C3C"/>
    <w:rsid w:val="00926880"/>
    <w:rsid w:val="00935020"/>
    <w:rsid w:val="00944831"/>
    <w:rsid w:val="00954274"/>
    <w:rsid w:val="0096601E"/>
    <w:rsid w:val="0098198F"/>
    <w:rsid w:val="009A6F54"/>
    <w:rsid w:val="009B05BE"/>
    <w:rsid w:val="009B60EE"/>
    <w:rsid w:val="009B7B3A"/>
    <w:rsid w:val="009C0C89"/>
    <w:rsid w:val="009C40F0"/>
    <w:rsid w:val="009D7FB4"/>
    <w:rsid w:val="009E08CF"/>
    <w:rsid w:val="009E5792"/>
    <w:rsid w:val="009E5DA7"/>
    <w:rsid w:val="009E7502"/>
    <w:rsid w:val="00A0515F"/>
    <w:rsid w:val="00A0639C"/>
    <w:rsid w:val="00A312D7"/>
    <w:rsid w:val="00A31D89"/>
    <w:rsid w:val="00A33325"/>
    <w:rsid w:val="00A36FC9"/>
    <w:rsid w:val="00A466EE"/>
    <w:rsid w:val="00A52D7F"/>
    <w:rsid w:val="00A554FD"/>
    <w:rsid w:val="00A57173"/>
    <w:rsid w:val="00A73289"/>
    <w:rsid w:val="00A73BF9"/>
    <w:rsid w:val="00A86D14"/>
    <w:rsid w:val="00A914B8"/>
    <w:rsid w:val="00AA6052"/>
    <w:rsid w:val="00AB36B6"/>
    <w:rsid w:val="00AB4802"/>
    <w:rsid w:val="00AB539F"/>
    <w:rsid w:val="00AB599F"/>
    <w:rsid w:val="00AC6C14"/>
    <w:rsid w:val="00AD2720"/>
    <w:rsid w:val="00AF76BD"/>
    <w:rsid w:val="00B024CC"/>
    <w:rsid w:val="00B05F38"/>
    <w:rsid w:val="00B1701D"/>
    <w:rsid w:val="00B21EC0"/>
    <w:rsid w:val="00B31285"/>
    <w:rsid w:val="00B378D2"/>
    <w:rsid w:val="00B40D4C"/>
    <w:rsid w:val="00B45844"/>
    <w:rsid w:val="00B62969"/>
    <w:rsid w:val="00B64490"/>
    <w:rsid w:val="00B742E9"/>
    <w:rsid w:val="00B75B7E"/>
    <w:rsid w:val="00B77992"/>
    <w:rsid w:val="00B840CB"/>
    <w:rsid w:val="00B84A20"/>
    <w:rsid w:val="00B93E89"/>
    <w:rsid w:val="00B96F3E"/>
    <w:rsid w:val="00BA2C70"/>
    <w:rsid w:val="00BA5FCA"/>
    <w:rsid w:val="00BB3790"/>
    <w:rsid w:val="00BB3C0B"/>
    <w:rsid w:val="00BB50BA"/>
    <w:rsid w:val="00BB55F6"/>
    <w:rsid w:val="00BC15C6"/>
    <w:rsid w:val="00BD47A8"/>
    <w:rsid w:val="00BE604E"/>
    <w:rsid w:val="00C01AA4"/>
    <w:rsid w:val="00C03E56"/>
    <w:rsid w:val="00C03FAE"/>
    <w:rsid w:val="00C10E44"/>
    <w:rsid w:val="00C21F33"/>
    <w:rsid w:val="00C277F1"/>
    <w:rsid w:val="00C42D70"/>
    <w:rsid w:val="00C510B9"/>
    <w:rsid w:val="00C52C42"/>
    <w:rsid w:val="00C53378"/>
    <w:rsid w:val="00C56D95"/>
    <w:rsid w:val="00C67D62"/>
    <w:rsid w:val="00C70329"/>
    <w:rsid w:val="00C73642"/>
    <w:rsid w:val="00C73DC8"/>
    <w:rsid w:val="00C76DA1"/>
    <w:rsid w:val="00C77845"/>
    <w:rsid w:val="00C81023"/>
    <w:rsid w:val="00C82D11"/>
    <w:rsid w:val="00C83BF4"/>
    <w:rsid w:val="00C84126"/>
    <w:rsid w:val="00C93AF9"/>
    <w:rsid w:val="00CA7134"/>
    <w:rsid w:val="00CB1903"/>
    <w:rsid w:val="00CD14DC"/>
    <w:rsid w:val="00CD37C6"/>
    <w:rsid w:val="00D00B0B"/>
    <w:rsid w:val="00D0184D"/>
    <w:rsid w:val="00D10256"/>
    <w:rsid w:val="00D10566"/>
    <w:rsid w:val="00D13E95"/>
    <w:rsid w:val="00D1469B"/>
    <w:rsid w:val="00D22AC1"/>
    <w:rsid w:val="00D303A4"/>
    <w:rsid w:val="00D36D9E"/>
    <w:rsid w:val="00D425E0"/>
    <w:rsid w:val="00D44564"/>
    <w:rsid w:val="00D44CD0"/>
    <w:rsid w:val="00D477AE"/>
    <w:rsid w:val="00D507EC"/>
    <w:rsid w:val="00D76F51"/>
    <w:rsid w:val="00D81DCD"/>
    <w:rsid w:val="00D81E44"/>
    <w:rsid w:val="00D8793E"/>
    <w:rsid w:val="00D931EE"/>
    <w:rsid w:val="00D97147"/>
    <w:rsid w:val="00DA499E"/>
    <w:rsid w:val="00DB110A"/>
    <w:rsid w:val="00DB22FA"/>
    <w:rsid w:val="00DB667B"/>
    <w:rsid w:val="00DF4ED7"/>
    <w:rsid w:val="00DF6C94"/>
    <w:rsid w:val="00E108AD"/>
    <w:rsid w:val="00E12D09"/>
    <w:rsid w:val="00E20FD6"/>
    <w:rsid w:val="00E22CA5"/>
    <w:rsid w:val="00E22E4E"/>
    <w:rsid w:val="00E26BC2"/>
    <w:rsid w:val="00E35D4B"/>
    <w:rsid w:val="00E36C58"/>
    <w:rsid w:val="00E36D0C"/>
    <w:rsid w:val="00E43181"/>
    <w:rsid w:val="00E56AD9"/>
    <w:rsid w:val="00E607C2"/>
    <w:rsid w:val="00E91528"/>
    <w:rsid w:val="00E96EB7"/>
    <w:rsid w:val="00EA5D02"/>
    <w:rsid w:val="00EA72E2"/>
    <w:rsid w:val="00EB1258"/>
    <w:rsid w:val="00EB4960"/>
    <w:rsid w:val="00EB6457"/>
    <w:rsid w:val="00EC343C"/>
    <w:rsid w:val="00EC522E"/>
    <w:rsid w:val="00EC582A"/>
    <w:rsid w:val="00ED57F6"/>
    <w:rsid w:val="00ED6A12"/>
    <w:rsid w:val="00ED6B55"/>
    <w:rsid w:val="00EE408C"/>
    <w:rsid w:val="00EF0D1F"/>
    <w:rsid w:val="00EF1C38"/>
    <w:rsid w:val="00F03113"/>
    <w:rsid w:val="00F044B5"/>
    <w:rsid w:val="00F229D0"/>
    <w:rsid w:val="00F25686"/>
    <w:rsid w:val="00F34908"/>
    <w:rsid w:val="00F37E51"/>
    <w:rsid w:val="00F558BC"/>
    <w:rsid w:val="00F55C89"/>
    <w:rsid w:val="00F670EA"/>
    <w:rsid w:val="00F80AC4"/>
    <w:rsid w:val="00F82418"/>
    <w:rsid w:val="00F82F22"/>
    <w:rsid w:val="00F831F6"/>
    <w:rsid w:val="00F878FE"/>
    <w:rsid w:val="00F945E2"/>
    <w:rsid w:val="00F946DB"/>
    <w:rsid w:val="00F9492B"/>
    <w:rsid w:val="00FA1406"/>
    <w:rsid w:val="00FA7224"/>
    <w:rsid w:val="00FA7FDF"/>
    <w:rsid w:val="00FB291D"/>
    <w:rsid w:val="00FB2B24"/>
    <w:rsid w:val="00FB72B4"/>
    <w:rsid w:val="00FC26A8"/>
    <w:rsid w:val="00FC50EF"/>
    <w:rsid w:val="00FC78F0"/>
    <w:rsid w:val="00FF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CA5"/>
    <w:rPr>
      <w:sz w:val="24"/>
      <w:szCs w:val="24"/>
    </w:rPr>
  </w:style>
  <w:style w:type="paragraph" w:styleId="Heading1">
    <w:name w:val="heading 1"/>
    <w:basedOn w:val="Normal"/>
    <w:next w:val="Normal"/>
    <w:link w:val="Heading1Char"/>
    <w:qFormat/>
    <w:rsid w:val="000526F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D76F51"/>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semiHidden/>
    <w:unhideWhenUsed/>
    <w:qFormat/>
    <w:rsid w:val="004E34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2CA5"/>
    <w:rPr>
      <w:color w:val="0000FF"/>
      <w:u w:val="single"/>
    </w:rPr>
  </w:style>
  <w:style w:type="paragraph" w:styleId="NormalWeb">
    <w:name w:val="Normal (Web)"/>
    <w:basedOn w:val="Normal"/>
    <w:uiPriority w:val="99"/>
    <w:rsid w:val="00E22CA5"/>
    <w:pPr>
      <w:spacing w:before="100" w:beforeAutospacing="1" w:after="100" w:afterAutospacing="1"/>
    </w:pPr>
  </w:style>
  <w:style w:type="character" w:styleId="Emphasis">
    <w:name w:val="Emphasis"/>
    <w:uiPriority w:val="20"/>
    <w:qFormat/>
    <w:rsid w:val="00E22CA5"/>
    <w:rPr>
      <w:i/>
      <w:iCs/>
    </w:rPr>
  </w:style>
  <w:style w:type="character" w:customStyle="1" w:styleId="title1">
    <w:name w:val="title1"/>
    <w:rsid w:val="00E20FD6"/>
    <w:rPr>
      <w:rFonts w:ascii="Arial" w:hAnsi="Arial" w:cs="Arial" w:hint="default"/>
      <w:b w:val="0"/>
      <w:bCs w:val="0"/>
      <w:color w:val="4F4F7A"/>
    </w:rPr>
  </w:style>
  <w:style w:type="character" w:styleId="Strong">
    <w:name w:val="Strong"/>
    <w:uiPriority w:val="22"/>
    <w:qFormat/>
    <w:rsid w:val="00E20FD6"/>
    <w:rPr>
      <w:b/>
      <w:bCs/>
    </w:rPr>
  </w:style>
  <w:style w:type="character" w:customStyle="1" w:styleId="apple-converted-space">
    <w:name w:val="apple-converted-space"/>
    <w:basedOn w:val="DefaultParagraphFont"/>
    <w:rsid w:val="004B0B90"/>
  </w:style>
  <w:style w:type="character" w:customStyle="1" w:styleId="auto-style41">
    <w:name w:val="auto-style41"/>
    <w:rsid w:val="00E26BC2"/>
    <w:rPr>
      <w:rFonts w:ascii="Verdana" w:hAnsi="Verdana" w:hint="default"/>
    </w:rPr>
  </w:style>
  <w:style w:type="character" w:customStyle="1" w:styleId="auto-style13">
    <w:name w:val="auto-style13"/>
    <w:rsid w:val="00E26BC2"/>
    <w:rPr>
      <w:color w:val="6633CC"/>
      <w:sz w:val="28"/>
      <w:szCs w:val="28"/>
    </w:rPr>
  </w:style>
  <w:style w:type="character" w:customStyle="1" w:styleId="auto-style21">
    <w:name w:val="auto-style21"/>
    <w:rsid w:val="00E26BC2"/>
    <w:rPr>
      <w:rFonts w:ascii="Verdana" w:hAnsi="Verdana" w:hint="default"/>
      <w:color w:val="999999"/>
    </w:rPr>
  </w:style>
  <w:style w:type="character" w:customStyle="1" w:styleId="auto-style81">
    <w:name w:val="auto-style81"/>
    <w:rsid w:val="00E26BC2"/>
    <w:rPr>
      <w:rFonts w:ascii="Verdana" w:hAnsi="Verdana" w:hint="default"/>
    </w:rPr>
  </w:style>
  <w:style w:type="character" w:customStyle="1" w:styleId="auto-style91">
    <w:name w:val="auto-style91"/>
    <w:rsid w:val="00E26BC2"/>
    <w:rPr>
      <w:rFonts w:ascii="Verdana" w:hAnsi="Verdana" w:hint="default"/>
      <w:sz w:val="18"/>
      <w:szCs w:val="18"/>
    </w:rPr>
  </w:style>
  <w:style w:type="character" w:customStyle="1" w:styleId="auto-style37">
    <w:name w:val="auto-style37"/>
    <w:rsid w:val="00802588"/>
  </w:style>
  <w:style w:type="character" w:customStyle="1" w:styleId="auto-style17">
    <w:name w:val="auto-style17"/>
    <w:rsid w:val="00802588"/>
  </w:style>
  <w:style w:type="character" w:customStyle="1" w:styleId="auto-style73">
    <w:name w:val="auto-style73"/>
    <w:rsid w:val="00802588"/>
  </w:style>
  <w:style w:type="paragraph" w:customStyle="1" w:styleId="auto-style50">
    <w:name w:val="auto-style50"/>
    <w:basedOn w:val="Normal"/>
    <w:rsid w:val="00802588"/>
    <w:pPr>
      <w:spacing w:before="100" w:beforeAutospacing="1" w:after="100" w:afterAutospacing="1"/>
    </w:pPr>
  </w:style>
  <w:style w:type="paragraph" w:customStyle="1" w:styleId="auto-style85">
    <w:name w:val="auto-style85"/>
    <w:basedOn w:val="Normal"/>
    <w:rsid w:val="00802588"/>
    <w:pPr>
      <w:spacing w:before="100" w:beforeAutospacing="1" w:after="100" w:afterAutospacing="1"/>
    </w:pPr>
  </w:style>
  <w:style w:type="paragraph" w:customStyle="1" w:styleId="auto-style87">
    <w:name w:val="auto-style87"/>
    <w:basedOn w:val="Normal"/>
    <w:rsid w:val="00802588"/>
    <w:pPr>
      <w:spacing w:before="100" w:beforeAutospacing="1" w:after="100" w:afterAutospacing="1"/>
    </w:pPr>
  </w:style>
  <w:style w:type="paragraph" w:customStyle="1" w:styleId="auto-style84">
    <w:name w:val="auto-style84"/>
    <w:basedOn w:val="Normal"/>
    <w:rsid w:val="00802588"/>
    <w:pPr>
      <w:spacing w:before="100" w:beforeAutospacing="1" w:after="100" w:afterAutospacing="1"/>
    </w:pPr>
  </w:style>
  <w:style w:type="paragraph" w:customStyle="1" w:styleId="auto-style27">
    <w:name w:val="auto-style27"/>
    <w:basedOn w:val="Normal"/>
    <w:rsid w:val="00D507EC"/>
    <w:pPr>
      <w:spacing w:after="225"/>
      <w:ind w:left="300" w:right="300"/>
    </w:pPr>
  </w:style>
  <w:style w:type="character" w:customStyle="1" w:styleId="auto-style291">
    <w:name w:val="auto-style291"/>
    <w:rsid w:val="00324B33"/>
    <w:rPr>
      <w:rFonts w:ascii="Verdana" w:hAnsi="Verdana" w:hint="default"/>
      <w:sz w:val="18"/>
      <w:szCs w:val="18"/>
    </w:rPr>
  </w:style>
  <w:style w:type="character" w:customStyle="1" w:styleId="auto-style281">
    <w:name w:val="auto-style281"/>
    <w:rsid w:val="00324B33"/>
    <w:rPr>
      <w:rFonts w:ascii="Verdana" w:hAnsi="Verdana" w:hint="default"/>
    </w:rPr>
  </w:style>
  <w:style w:type="paragraph" w:customStyle="1" w:styleId="auto-style23">
    <w:name w:val="auto-style23"/>
    <w:basedOn w:val="Normal"/>
    <w:rsid w:val="00324B33"/>
    <w:pPr>
      <w:spacing w:before="100" w:beforeAutospacing="1" w:after="100" w:afterAutospacing="1"/>
      <w:ind w:left="300" w:right="300"/>
    </w:pPr>
  </w:style>
  <w:style w:type="character" w:customStyle="1" w:styleId="auto-style171">
    <w:name w:val="auto-style171"/>
    <w:rsid w:val="00324B33"/>
  </w:style>
  <w:style w:type="character" w:customStyle="1" w:styleId="auto-style361">
    <w:name w:val="auto-style361"/>
    <w:rsid w:val="00D931EE"/>
    <w:rPr>
      <w:rFonts w:ascii="Verdana" w:hAnsi="Verdana" w:hint="default"/>
      <w:sz w:val="18"/>
      <w:szCs w:val="18"/>
    </w:rPr>
  </w:style>
  <w:style w:type="paragraph" w:customStyle="1" w:styleId="auto-style122">
    <w:name w:val="auto-style122"/>
    <w:basedOn w:val="Normal"/>
    <w:uiPriority w:val="99"/>
    <w:rsid w:val="00926880"/>
    <w:pPr>
      <w:spacing w:after="225" w:line="270" w:lineRule="atLeast"/>
      <w:ind w:left="300" w:right="300"/>
    </w:pPr>
    <w:rPr>
      <w:rFonts w:ascii="Verdana" w:eastAsia="Calibri" w:hAnsi="Verdana"/>
    </w:rPr>
  </w:style>
  <w:style w:type="character" w:customStyle="1" w:styleId="auto-style411">
    <w:name w:val="auto-style411"/>
    <w:rsid w:val="00926880"/>
    <w:rPr>
      <w:rFonts w:ascii="Verdana" w:hAnsi="Verdana" w:hint="default"/>
    </w:rPr>
  </w:style>
  <w:style w:type="paragraph" w:customStyle="1" w:styleId="auto-style38">
    <w:name w:val="auto-style38"/>
    <w:basedOn w:val="Normal"/>
    <w:rsid w:val="00FA1406"/>
    <w:pPr>
      <w:spacing w:after="225" w:line="270" w:lineRule="atLeast"/>
      <w:ind w:left="300" w:right="300"/>
    </w:pPr>
    <w:rPr>
      <w:rFonts w:ascii="Verdana" w:hAnsi="Verdana"/>
      <w:sz w:val="18"/>
      <w:szCs w:val="18"/>
    </w:rPr>
  </w:style>
  <w:style w:type="paragraph" w:customStyle="1" w:styleId="auto-style46">
    <w:name w:val="auto-style46"/>
    <w:basedOn w:val="Normal"/>
    <w:rsid w:val="00FA1406"/>
    <w:pPr>
      <w:spacing w:after="225" w:line="270" w:lineRule="atLeast"/>
      <w:ind w:left="300" w:right="300"/>
    </w:pPr>
    <w:rPr>
      <w:rFonts w:ascii="Verdana" w:hAnsi="Verdana"/>
      <w:sz w:val="18"/>
      <w:szCs w:val="18"/>
    </w:rPr>
  </w:style>
  <w:style w:type="paragraph" w:customStyle="1" w:styleId="auto-style47">
    <w:name w:val="auto-style47"/>
    <w:basedOn w:val="Normal"/>
    <w:rsid w:val="00FA1406"/>
    <w:pPr>
      <w:spacing w:after="225" w:line="270" w:lineRule="atLeast"/>
      <w:ind w:left="300" w:right="300"/>
    </w:pPr>
    <w:rPr>
      <w:rFonts w:ascii="Verdana" w:hAnsi="Verdana"/>
    </w:rPr>
  </w:style>
  <w:style w:type="paragraph" w:customStyle="1" w:styleId="auto-style48">
    <w:name w:val="auto-style48"/>
    <w:basedOn w:val="Normal"/>
    <w:rsid w:val="00FA1406"/>
    <w:pPr>
      <w:spacing w:after="225" w:line="270" w:lineRule="atLeast"/>
      <w:ind w:left="300" w:right="300"/>
    </w:pPr>
    <w:rPr>
      <w:rFonts w:ascii="Verdana" w:hAnsi="Verdana"/>
    </w:rPr>
  </w:style>
  <w:style w:type="paragraph" w:customStyle="1" w:styleId="auto-style49">
    <w:name w:val="auto-style49"/>
    <w:basedOn w:val="Normal"/>
    <w:rsid w:val="00FA1406"/>
    <w:pPr>
      <w:spacing w:after="225" w:line="270" w:lineRule="atLeast"/>
      <w:ind w:left="300" w:right="300"/>
    </w:pPr>
    <w:rPr>
      <w:rFonts w:ascii="Verdana" w:hAnsi="Verdana"/>
      <w:sz w:val="18"/>
      <w:szCs w:val="18"/>
    </w:rPr>
  </w:style>
  <w:style w:type="character" w:customStyle="1" w:styleId="auto-style181">
    <w:name w:val="auto-style181"/>
    <w:rsid w:val="00FA1406"/>
    <w:rPr>
      <w:rFonts w:ascii="Verdana" w:hAnsi="Verdana" w:hint="default"/>
      <w:color w:val="999999"/>
      <w:sz w:val="18"/>
      <w:szCs w:val="18"/>
    </w:rPr>
  </w:style>
  <w:style w:type="character" w:customStyle="1" w:styleId="auto-style451">
    <w:name w:val="auto-style451"/>
    <w:rsid w:val="00FA1406"/>
    <w:rPr>
      <w:rFonts w:ascii="Verdana" w:hAnsi="Verdana" w:hint="default"/>
    </w:rPr>
  </w:style>
  <w:style w:type="character" w:customStyle="1" w:styleId="auto-style441">
    <w:name w:val="auto-style441"/>
    <w:rsid w:val="00FA1406"/>
    <w:rPr>
      <w:rFonts w:ascii="Verdana" w:hAnsi="Verdana" w:hint="default"/>
      <w:sz w:val="18"/>
      <w:szCs w:val="18"/>
    </w:rPr>
  </w:style>
  <w:style w:type="paragraph" w:customStyle="1" w:styleId="auto-style40">
    <w:name w:val="auto-style40"/>
    <w:basedOn w:val="Normal"/>
    <w:rsid w:val="00FA1406"/>
    <w:pPr>
      <w:spacing w:after="225" w:line="270" w:lineRule="atLeast"/>
      <w:ind w:left="300" w:right="300"/>
    </w:pPr>
  </w:style>
  <w:style w:type="paragraph" w:customStyle="1" w:styleId="auto-style43">
    <w:name w:val="auto-style43"/>
    <w:basedOn w:val="Normal"/>
    <w:rsid w:val="00FA1406"/>
    <w:pPr>
      <w:spacing w:after="225" w:line="270" w:lineRule="atLeast"/>
      <w:ind w:left="300" w:right="300"/>
    </w:pPr>
    <w:rPr>
      <w:rFonts w:ascii="Verdana" w:hAnsi="Verdana"/>
      <w:color w:val="222222"/>
      <w:sz w:val="18"/>
      <w:szCs w:val="18"/>
    </w:rPr>
  </w:style>
  <w:style w:type="character" w:customStyle="1" w:styleId="auto-style301">
    <w:name w:val="auto-style301"/>
    <w:rsid w:val="00FA1406"/>
    <w:rPr>
      <w:sz w:val="18"/>
      <w:szCs w:val="18"/>
    </w:rPr>
  </w:style>
  <w:style w:type="character" w:customStyle="1" w:styleId="Heading4Char">
    <w:name w:val="Heading 4 Char"/>
    <w:link w:val="Heading4"/>
    <w:uiPriority w:val="9"/>
    <w:rsid w:val="00D76F51"/>
    <w:rPr>
      <w:rFonts w:ascii="Cambria" w:hAnsi="Cambria"/>
      <w:b/>
      <w:bCs/>
      <w:i/>
      <w:iCs/>
      <w:color w:val="4F81BD"/>
      <w:sz w:val="22"/>
      <w:szCs w:val="22"/>
    </w:rPr>
  </w:style>
  <w:style w:type="paragraph" w:customStyle="1" w:styleId="auto-style135">
    <w:name w:val="auto-style135"/>
    <w:basedOn w:val="Normal"/>
    <w:rsid w:val="00C277F1"/>
    <w:pPr>
      <w:spacing w:before="100" w:beforeAutospacing="1" w:after="100" w:afterAutospacing="1"/>
    </w:pPr>
  </w:style>
  <w:style w:type="character" w:customStyle="1" w:styleId="auto-style101">
    <w:name w:val="auto-style101"/>
    <w:rsid w:val="00C277F1"/>
  </w:style>
  <w:style w:type="character" w:customStyle="1" w:styleId="auto-style381">
    <w:name w:val="auto-style381"/>
    <w:rsid w:val="00BA5FCA"/>
    <w:rPr>
      <w:sz w:val="18"/>
      <w:szCs w:val="18"/>
    </w:rPr>
  </w:style>
  <w:style w:type="character" w:customStyle="1" w:styleId="auto-style1541">
    <w:name w:val="auto-style1541"/>
    <w:rsid w:val="00BA5FCA"/>
    <w:rPr>
      <w:sz w:val="22"/>
      <w:szCs w:val="22"/>
    </w:rPr>
  </w:style>
  <w:style w:type="paragraph" w:customStyle="1" w:styleId="auto-style155">
    <w:name w:val="auto-style155"/>
    <w:basedOn w:val="Normal"/>
    <w:rsid w:val="00BA5FCA"/>
    <w:pPr>
      <w:spacing w:after="225" w:line="270" w:lineRule="atLeast"/>
      <w:ind w:left="300" w:right="300"/>
    </w:pPr>
    <w:rPr>
      <w:rFonts w:ascii="Calibri" w:eastAsia="Calibri" w:hAnsi="Calibri"/>
      <w:sz w:val="22"/>
      <w:szCs w:val="22"/>
    </w:rPr>
  </w:style>
  <w:style w:type="character" w:customStyle="1" w:styleId="auto-style1011">
    <w:name w:val="auto-style1011"/>
    <w:rsid w:val="00BA5FCA"/>
    <w:rPr>
      <w:rFonts w:ascii="Verdana" w:hAnsi="Verdana" w:hint="default"/>
    </w:rPr>
  </w:style>
  <w:style w:type="character" w:customStyle="1" w:styleId="comment-body">
    <w:name w:val="comment-body"/>
    <w:rsid w:val="0035012D"/>
  </w:style>
  <w:style w:type="character" w:customStyle="1" w:styleId="auto-style1181">
    <w:name w:val="auto-style1181"/>
    <w:rsid w:val="0035012D"/>
    <w:rPr>
      <w:rFonts w:ascii="Verdana" w:hAnsi="Verdana" w:hint="default"/>
      <w:sz w:val="18"/>
      <w:szCs w:val="18"/>
      <w:shd w:val="clear" w:color="auto" w:fill="FFFFFF"/>
    </w:rPr>
  </w:style>
  <w:style w:type="paragraph" w:customStyle="1" w:styleId="auto-style163">
    <w:name w:val="auto-style163"/>
    <w:basedOn w:val="Normal"/>
    <w:uiPriority w:val="99"/>
    <w:rsid w:val="00B84A20"/>
    <w:pPr>
      <w:spacing w:after="225"/>
      <w:ind w:left="300" w:right="300"/>
    </w:pPr>
    <w:rPr>
      <w:rFonts w:eastAsia="Calibri"/>
    </w:rPr>
  </w:style>
  <w:style w:type="paragraph" w:customStyle="1" w:styleId="auto-style70">
    <w:name w:val="auto-style70"/>
    <w:basedOn w:val="Normal"/>
    <w:rsid w:val="00DB110A"/>
    <w:pPr>
      <w:spacing w:after="225" w:line="270" w:lineRule="atLeast"/>
      <w:ind w:left="300" w:right="300"/>
    </w:pPr>
    <w:rPr>
      <w:rFonts w:ascii="Arial" w:hAnsi="Arial" w:cs="Arial"/>
    </w:rPr>
  </w:style>
  <w:style w:type="character" w:customStyle="1" w:styleId="rphighlightallclass">
    <w:name w:val="rphighlightallclass"/>
    <w:rsid w:val="000D212E"/>
  </w:style>
  <w:style w:type="character" w:customStyle="1" w:styleId="Heading1Char">
    <w:name w:val="Heading 1 Char"/>
    <w:link w:val="Heading1"/>
    <w:rsid w:val="000526F5"/>
    <w:rPr>
      <w:rFonts w:ascii="Cambria" w:eastAsia="Times New Roman" w:hAnsi="Cambria" w:cs="Times New Roman"/>
      <w:b/>
      <w:bCs/>
      <w:kern w:val="32"/>
      <w:sz w:val="32"/>
      <w:szCs w:val="32"/>
    </w:rPr>
  </w:style>
  <w:style w:type="paragraph" w:styleId="NoSpacing">
    <w:name w:val="No Spacing"/>
    <w:uiPriority w:val="1"/>
    <w:qFormat/>
    <w:rsid w:val="0098198F"/>
    <w:rPr>
      <w:rFonts w:ascii="Calibri" w:eastAsia="Calibri" w:hAnsi="Calibri"/>
      <w:sz w:val="22"/>
      <w:szCs w:val="22"/>
    </w:rPr>
  </w:style>
  <w:style w:type="character" w:customStyle="1" w:styleId="auto-style172">
    <w:name w:val="auto-style172"/>
    <w:rsid w:val="00E12D09"/>
  </w:style>
  <w:style w:type="character" w:customStyle="1" w:styleId="auto-style179">
    <w:name w:val="auto-style179"/>
    <w:rsid w:val="00E12D09"/>
  </w:style>
  <w:style w:type="character" w:customStyle="1" w:styleId="auto-style182">
    <w:name w:val="auto-style182"/>
    <w:rsid w:val="00E12D09"/>
  </w:style>
  <w:style w:type="character" w:customStyle="1" w:styleId="auto-style184">
    <w:name w:val="auto-style184"/>
    <w:rsid w:val="00E12D09"/>
  </w:style>
  <w:style w:type="character" w:customStyle="1" w:styleId="auto-style6">
    <w:name w:val="auto-style6"/>
    <w:rsid w:val="00E12D09"/>
  </w:style>
  <w:style w:type="character" w:customStyle="1" w:styleId="auto-style232">
    <w:name w:val="auto-style232"/>
    <w:rsid w:val="00E12D09"/>
  </w:style>
  <w:style w:type="character" w:customStyle="1" w:styleId="auto-style226">
    <w:name w:val="auto-style226"/>
    <w:rsid w:val="00E12D09"/>
  </w:style>
  <w:style w:type="character" w:customStyle="1" w:styleId="auto-style224">
    <w:name w:val="auto-style224"/>
    <w:rsid w:val="00E12D09"/>
  </w:style>
  <w:style w:type="character" w:customStyle="1" w:styleId="auto-style227">
    <w:name w:val="auto-style227"/>
    <w:rsid w:val="00E12D09"/>
  </w:style>
  <w:style w:type="character" w:customStyle="1" w:styleId="auto-style228">
    <w:name w:val="auto-style228"/>
    <w:rsid w:val="00E12D09"/>
  </w:style>
  <w:style w:type="paragraph" w:customStyle="1" w:styleId="Default">
    <w:name w:val="Default"/>
    <w:rsid w:val="00A73289"/>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A73289"/>
    <w:rPr>
      <w:color w:val="800080"/>
      <w:u w:val="single"/>
    </w:rPr>
  </w:style>
  <w:style w:type="character" w:customStyle="1" w:styleId="auto-style230">
    <w:name w:val="auto-style230"/>
    <w:rsid w:val="001E2830"/>
  </w:style>
  <w:style w:type="paragraph" w:styleId="BalloonText">
    <w:name w:val="Balloon Text"/>
    <w:basedOn w:val="Normal"/>
    <w:link w:val="BalloonTextChar"/>
    <w:rsid w:val="00720C58"/>
    <w:rPr>
      <w:rFonts w:ascii="Tahoma" w:hAnsi="Tahoma" w:cs="Tahoma"/>
      <w:sz w:val="16"/>
      <w:szCs w:val="16"/>
    </w:rPr>
  </w:style>
  <w:style w:type="character" w:customStyle="1" w:styleId="BalloonTextChar">
    <w:name w:val="Balloon Text Char"/>
    <w:basedOn w:val="DefaultParagraphFont"/>
    <w:link w:val="BalloonText"/>
    <w:rsid w:val="00720C58"/>
    <w:rPr>
      <w:rFonts w:ascii="Tahoma" w:hAnsi="Tahoma" w:cs="Tahoma"/>
      <w:sz w:val="16"/>
      <w:szCs w:val="16"/>
    </w:rPr>
  </w:style>
  <w:style w:type="paragraph" w:styleId="ListParagraph">
    <w:name w:val="List Paragraph"/>
    <w:basedOn w:val="Normal"/>
    <w:uiPriority w:val="34"/>
    <w:qFormat/>
    <w:rsid w:val="00DF4ED7"/>
    <w:pPr>
      <w:spacing w:after="200" w:line="276" w:lineRule="auto"/>
      <w:ind w:left="720"/>
      <w:contextualSpacing/>
    </w:pPr>
    <w:rPr>
      <w:rFonts w:asciiTheme="minorHAnsi" w:eastAsiaTheme="minorHAnsi" w:hAnsiTheme="minorHAnsi" w:cstheme="minorBidi"/>
      <w:sz w:val="22"/>
      <w:szCs w:val="22"/>
    </w:rPr>
  </w:style>
  <w:style w:type="character" w:customStyle="1" w:styleId="auto-style1721">
    <w:name w:val="auto-style1721"/>
    <w:basedOn w:val="DefaultParagraphFont"/>
    <w:rsid w:val="008E358A"/>
    <w:rPr>
      <w:b w:val="0"/>
      <w:bCs w:val="0"/>
    </w:rPr>
  </w:style>
  <w:style w:type="character" w:customStyle="1" w:styleId="Heading5Char">
    <w:name w:val="Heading 5 Char"/>
    <w:basedOn w:val="DefaultParagraphFont"/>
    <w:link w:val="Heading5"/>
    <w:semiHidden/>
    <w:rsid w:val="004E34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83086">
      <w:bodyDiv w:val="1"/>
      <w:marLeft w:val="0"/>
      <w:marRight w:val="0"/>
      <w:marTop w:val="0"/>
      <w:marBottom w:val="0"/>
      <w:divBdr>
        <w:top w:val="none" w:sz="0" w:space="0" w:color="auto"/>
        <w:left w:val="none" w:sz="0" w:space="0" w:color="auto"/>
        <w:bottom w:val="none" w:sz="0" w:space="0" w:color="auto"/>
        <w:right w:val="none" w:sz="0" w:space="0" w:color="auto"/>
      </w:divBdr>
    </w:div>
    <w:div w:id="105004316">
      <w:bodyDiv w:val="1"/>
      <w:marLeft w:val="0"/>
      <w:marRight w:val="0"/>
      <w:marTop w:val="0"/>
      <w:marBottom w:val="0"/>
      <w:divBdr>
        <w:top w:val="none" w:sz="0" w:space="0" w:color="auto"/>
        <w:left w:val="none" w:sz="0" w:space="0" w:color="auto"/>
        <w:bottom w:val="none" w:sz="0" w:space="0" w:color="auto"/>
        <w:right w:val="none" w:sz="0" w:space="0" w:color="auto"/>
      </w:divBdr>
    </w:div>
    <w:div w:id="193153951">
      <w:bodyDiv w:val="1"/>
      <w:marLeft w:val="0"/>
      <w:marRight w:val="0"/>
      <w:marTop w:val="0"/>
      <w:marBottom w:val="0"/>
      <w:divBdr>
        <w:top w:val="none" w:sz="0" w:space="0" w:color="auto"/>
        <w:left w:val="none" w:sz="0" w:space="0" w:color="auto"/>
        <w:bottom w:val="none" w:sz="0" w:space="0" w:color="auto"/>
        <w:right w:val="none" w:sz="0" w:space="0" w:color="auto"/>
      </w:divBdr>
    </w:div>
    <w:div w:id="388843905">
      <w:bodyDiv w:val="1"/>
      <w:marLeft w:val="0"/>
      <w:marRight w:val="0"/>
      <w:marTop w:val="0"/>
      <w:marBottom w:val="0"/>
      <w:divBdr>
        <w:top w:val="none" w:sz="0" w:space="0" w:color="auto"/>
        <w:left w:val="none" w:sz="0" w:space="0" w:color="auto"/>
        <w:bottom w:val="none" w:sz="0" w:space="0" w:color="auto"/>
        <w:right w:val="none" w:sz="0" w:space="0" w:color="auto"/>
      </w:divBdr>
    </w:div>
    <w:div w:id="399867528">
      <w:bodyDiv w:val="1"/>
      <w:marLeft w:val="0"/>
      <w:marRight w:val="0"/>
      <w:marTop w:val="0"/>
      <w:marBottom w:val="0"/>
      <w:divBdr>
        <w:top w:val="none" w:sz="0" w:space="0" w:color="auto"/>
        <w:left w:val="none" w:sz="0" w:space="0" w:color="auto"/>
        <w:bottom w:val="none" w:sz="0" w:space="0" w:color="auto"/>
        <w:right w:val="none" w:sz="0" w:space="0" w:color="auto"/>
      </w:divBdr>
    </w:div>
    <w:div w:id="438185087">
      <w:bodyDiv w:val="1"/>
      <w:marLeft w:val="0"/>
      <w:marRight w:val="0"/>
      <w:marTop w:val="0"/>
      <w:marBottom w:val="0"/>
      <w:divBdr>
        <w:top w:val="none" w:sz="0" w:space="0" w:color="auto"/>
        <w:left w:val="none" w:sz="0" w:space="0" w:color="auto"/>
        <w:bottom w:val="none" w:sz="0" w:space="0" w:color="auto"/>
        <w:right w:val="none" w:sz="0" w:space="0" w:color="auto"/>
      </w:divBdr>
    </w:div>
    <w:div w:id="440302396">
      <w:bodyDiv w:val="1"/>
      <w:marLeft w:val="0"/>
      <w:marRight w:val="0"/>
      <w:marTop w:val="0"/>
      <w:marBottom w:val="0"/>
      <w:divBdr>
        <w:top w:val="none" w:sz="0" w:space="0" w:color="auto"/>
        <w:left w:val="none" w:sz="0" w:space="0" w:color="auto"/>
        <w:bottom w:val="none" w:sz="0" w:space="0" w:color="auto"/>
        <w:right w:val="none" w:sz="0" w:space="0" w:color="auto"/>
      </w:divBdr>
    </w:div>
    <w:div w:id="472988793">
      <w:bodyDiv w:val="1"/>
      <w:marLeft w:val="0"/>
      <w:marRight w:val="0"/>
      <w:marTop w:val="0"/>
      <w:marBottom w:val="0"/>
      <w:divBdr>
        <w:top w:val="none" w:sz="0" w:space="0" w:color="auto"/>
        <w:left w:val="none" w:sz="0" w:space="0" w:color="auto"/>
        <w:bottom w:val="none" w:sz="0" w:space="0" w:color="auto"/>
        <w:right w:val="none" w:sz="0" w:space="0" w:color="auto"/>
      </w:divBdr>
    </w:div>
    <w:div w:id="513687793">
      <w:bodyDiv w:val="1"/>
      <w:marLeft w:val="0"/>
      <w:marRight w:val="0"/>
      <w:marTop w:val="0"/>
      <w:marBottom w:val="0"/>
      <w:divBdr>
        <w:top w:val="none" w:sz="0" w:space="0" w:color="auto"/>
        <w:left w:val="none" w:sz="0" w:space="0" w:color="auto"/>
        <w:bottom w:val="none" w:sz="0" w:space="0" w:color="auto"/>
        <w:right w:val="none" w:sz="0" w:space="0" w:color="auto"/>
      </w:divBdr>
    </w:div>
    <w:div w:id="515537738">
      <w:bodyDiv w:val="1"/>
      <w:marLeft w:val="0"/>
      <w:marRight w:val="0"/>
      <w:marTop w:val="0"/>
      <w:marBottom w:val="0"/>
      <w:divBdr>
        <w:top w:val="none" w:sz="0" w:space="0" w:color="auto"/>
        <w:left w:val="none" w:sz="0" w:space="0" w:color="auto"/>
        <w:bottom w:val="none" w:sz="0" w:space="0" w:color="auto"/>
        <w:right w:val="none" w:sz="0" w:space="0" w:color="auto"/>
      </w:divBdr>
    </w:div>
    <w:div w:id="515734652">
      <w:bodyDiv w:val="1"/>
      <w:marLeft w:val="0"/>
      <w:marRight w:val="0"/>
      <w:marTop w:val="0"/>
      <w:marBottom w:val="0"/>
      <w:divBdr>
        <w:top w:val="none" w:sz="0" w:space="0" w:color="auto"/>
        <w:left w:val="none" w:sz="0" w:space="0" w:color="auto"/>
        <w:bottom w:val="none" w:sz="0" w:space="0" w:color="auto"/>
        <w:right w:val="none" w:sz="0" w:space="0" w:color="auto"/>
      </w:divBdr>
    </w:div>
    <w:div w:id="568274340">
      <w:bodyDiv w:val="1"/>
      <w:marLeft w:val="0"/>
      <w:marRight w:val="0"/>
      <w:marTop w:val="0"/>
      <w:marBottom w:val="0"/>
      <w:divBdr>
        <w:top w:val="none" w:sz="0" w:space="0" w:color="auto"/>
        <w:left w:val="none" w:sz="0" w:space="0" w:color="auto"/>
        <w:bottom w:val="none" w:sz="0" w:space="0" w:color="auto"/>
        <w:right w:val="none" w:sz="0" w:space="0" w:color="auto"/>
      </w:divBdr>
    </w:div>
    <w:div w:id="603461911">
      <w:bodyDiv w:val="1"/>
      <w:marLeft w:val="0"/>
      <w:marRight w:val="0"/>
      <w:marTop w:val="0"/>
      <w:marBottom w:val="0"/>
      <w:divBdr>
        <w:top w:val="none" w:sz="0" w:space="0" w:color="auto"/>
        <w:left w:val="none" w:sz="0" w:space="0" w:color="auto"/>
        <w:bottom w:val="none" w:sz="0" w:space="0" w:color="auto"/>
        <w:right w:val="none" w:sz="0" w:space="0" w:color="auto"/>
      </w:divBdr>
    </w:div>
    <w:div w:id="738868003">
      <w:bodyDiv w:val="1"/>
      <w:marLeft w:val="0"/>
      <w:marRight w:val="0"/>
      <w:marTop w:val="0"/>
      <w:marBottom w:val="0"/>
      <w:divBdr>
        <w:top w:val="none" w:sz="0" w:space="0" w:color="auto"/>
        <w:left w:val="none" w:sz="0" w:space="0" w:color="auto"/>
        <w:bottom w:val="none" w:sz="0" w:space="0" w:color="auto"/>
        <w:right w:val="none" w:sz="0" w:space="0" w:color="auto"/>
      </w:divBdr>
    </w:div>
    <w:div w:id="749161701">
      <w:bodyDiv w:val="1"/>
      <w:marLeft w:val="0"/>
      <w:marRight w:val="0"/>
      <w:marTop w:val="0"/>
      <w:marBottom w:val="0"/>
      <w:divBdr>
        <w:top w:val="none" w:sz="0" w:space="0" w:color="auto"/>
        <w:left w:val="none" w:sz="0" w:space="0" w:color="auto"/>
        <w:bottom w:val="none" w:sz="0" w:space="0" w:color="auto"/>
        <w:right w:val="none" w:sz="0" w:space="0" w:color="auto"/>
      </w:divBdr>
    </w:div>
    <w:div w:id="763111804">
      <w:bodyDiv w:val="1"/>
      <w:marLeft w:val="0"/>
      <w:marRight w:val="0"/>
      <w:marTop w:val="0"/>
      <w:marBottom w:val="0"/>
      <w:divBdr>
        <w:top w:val="none" w:sz="0" w:space="0" w:color="auto"/>
        <w:left w:val="none" w:sz="0" w:space="0" w:color="auto"/>
        <w:bottom w:val="none" w:sz="0" w:space="0" w:color="auto"/>
        <w:right w:val="none" w:sz="0" w:space="0" w:color="auto"/>
      </w:divBdr>
    </w:div>
    <w:div w:id="778376738">
      <w:bodyDiv w:val="1"/>
      <w:marLeft w:val="0"/>
      <w:marRight w:val="0"/>
      <w:marTop w:val="0"/>
      <w:marBottom w:val="0"/>
      <w:divBdr>
        <w:top w:val="none" w:sz="0" w:space="0" w:color="auto"/>
        <w:left w:val="none" w:sz="0" w:space="0" w:color="auto"/>
        <w:bottom w:val="none" w:sz="0" w:space="0" w:color="auto"/>
        <w:right w:val="none" w:sz="0" w:space="0" w:color="auto"/>
      </w:divBdr>
    </w:div>
    <w:div w:id="801001293">
      <w:bodyDiv w:val="1"/>
      <w:marLeft w:val="0"/>
      <w:marRight w:val="0"/>
      <w:marTop w:val="0"/>
      <w:marBottom w:val="0"/>
      <w:divBdr>
        <w:top w:val="none" w:sz="0" w:space="0" w:color="auto"/>
        <w:left w:val="none" w:sz="0" w:space="0" w:color="auto"/>
        <w:bottom w:val="none" w:sz="0" w:space="0" w:color="auto"/>
        <w:right w:val="none" w:sz="0" w:space="0" w:color="auto"/>
      </w:divBdr>
    </w:div>
    <w:div w:id="819658848">
      <w:bodyDiv w:val="1"/>
      <w:marLeft w:val="0"/>
      <w:marRight w:val="0"/>
      <w:marTop w:val="0"/>
      <w:marBottom w:val="0"/>
      <w:divBdr>
        <w:top w:val="none" w:sz="0" w:space="0" w:color="auto"/>
        <w:left w:val="none" w:sz="0" w:space="0" w:color="auto"/>
        <w:bottom w:val="none" w:sz="0" w:space="0" w:color="auto"/>
        <w:right w:val="none" w:sz="0" w:space="0" w:color="auto"/>
      </w:divBdr>
    </w:div>
    <w:div w:id="822936499">
      <w:bodyDiv w:val="1"/>
      <w:marLeft w:val="0"/>
      <w:marRight w:val="0"/>
      <w:marTop w:val="0"/>
      <w:marBottom w:val="0"/>
      <w:divBdr>
        <w:top w:val="none" w:sz="0" w:space="0" w:color="auto"/>
        <w:left w:val="none" w:sz="0" w:space="0" w:color="auto"/>
        <w:bottom w:val="none" w:sz="0" w:space="0" w:color="auto"/>
        <w:right w:val="none" w:sz="0" w:space="0" w:color="auto"/>
      </w:divBdr>
    </w:div>
    <w:div w:id="907420129">
      <w:bodyDiv w:val="1"/>
      <w:marLeft w:val="0"/>
      <w:marRight w:val="0"/>
      <w:marTop w:val="0"/>
      <w:marBottom w:val="0"/>
      <w:divBdr>
        <w:top w:val="none" w:sz="0" w:space="0" w:color="auto"/>
        <w:left w:val="none" w:sz="0" w:space="0" w:color="auto"/>
        <w:bottom w:val="none" w:sz="0" w:space="0" w:color="auto"/>
        <w:right w:val="none" w:sz="0" w:space="0" w:color="auto"/>
      </w:divBdr>
    </w:div>
    <w:div w:id="915748238">
      <w:bodyDiv w:val="1"/>
      <w:marLeft w:val="0"/>
      <w:marRight w:val="0"/>
      <w:marTop w:val="0"/>
      <w:marBottom w:val="0"/>
      <w:divBdr>
        <w:top w:val="none" w:sz="0" w:space="0" w:color="auto"/>
        <w:left w:val="none" w:sz="0" w:space="0" w:color="auto"/>
        <w:bottom w:val="none" w:sz="0" w:space="0" w:color="auto"/>
        <w:right w:val="none" w:sz="0" w:space="0" w:color="auto"/>
      </w:divBdr>
    </w:div>
    <w:div w:id="916671209">
      <w:bodyDiv w:val="1"/>
      <w:marLeft w:val="0"/>
      <w:marRight w:val="0"/>
      <w:marTop w:val="0"/>
      <w:marBottom w:val="0"/>
      <w:divBdr>
        <w:top w:val="none" w:sz="0" w:space="0" w:color="auto"/>
        <w:left w:val="none" w:sz="0" w:space="0" w:color="auto"/>
        <w:bottom w:val="none" w:sz="0" w:space="0" w:color="auto"/>
        <w:right w:val="none" w:sz="0" w:space="0" w:color="auto"/>
      </w:divBdr>
    </w:div>
    <w:div w:id="960233964">
      <w:bodyDiv w:val="1"/>
      <w:marLeft w:val="0"/>
      <w:marRight w:val="0"/>
      <w:marTop w:val="0"/>
      <w:marBottom w:val="0"/>
      <w:divBdr>
        <w:top w:val="none" w:sz="0" w:space="0" w:color="auto"/>
        <w:left w:val="none" w:sz="0" w:space="0" w:color="auto"/>
        <w:bottom w:val="none" w:sz="0" w:space="0" w:color="auto"/>
        <w:right w:val="none" w:sz="0" w:space="0" w:color="auto"/>
      </w:divBdr>
    </w:div>
    <w:div w:id="970328342">
      <w:bodyDiv w:val="1"/>
      <w:marLeft w:val="0"/>
      <w:marRight w:val="0"/>
      <w:marTop w:val="0"/>
      <w:marBottom w:val="0"/>
      <w:divBdr>
        <w:top w:val="none" w:sz="0" w:space="0" w:color="auto"/>
        <w:left w:val="none" w:sz="0" w:space="0" w:color="auto"/>
        <w:bottom w:val="none" w:sz="0" w:space="0" w:color="auto"/>
        <w:right w:val="none" w:sz="0" w:space="0" w:color="auto"/>
      </w:divBdr>
    </w:div>
    <w:div w:id="975531669">
      <w:bodyDiv w:val="1"/>
      <w:marLeft w:val="0"/>
      <w:marRight w:val="0"/>
      <w:marTop w:val="0"/>
      <w:marBottom w:val="0"/>
      <w:divBdr>
        <w:top w:val="none" w:sz="0" w:space="0" w:color="auto"/>
        <w:left w:val="none" w:sz="0" w:space="0" w:color="auto"/>
        <w:bottom w:val="none" w:sz="0" w:space="0" w:color="auto"/>
        <w:right w:val="none" w:sz="0" w:space="0" w:color="auto"/>
      </w:divBdr>
    </w:div>
    <w:div w:id="1039934085">
      <w:bodyDiv w:val="1"/>
      <w:marLeft w:val="0"/>
      <w:marRight w:val="0"/>
      <w:marTop w:val="0"/>
      <w:marBottom w:val="0"/>
      <w:divBdr>
        <w:top w:val="none" w:sz="0" w:space="0" w:color="auto"/>
        <w:left w:val="none" w:sz="0" w:space="0" w:color="auto"/>
        <w:bottom w:val="none" w:sz="0" w:space="0" w:color="auto"/>
        <w:right w:val="none" w:sz="0" w:space="0" w:color="auto"/>
      </w:divBdr>
    </w:div>
    <w:div w:id="1092581532">
      <w:bodyDiv w:val="1"/>
      <w:marLeft w:val="0"/>
      <w:marRight w:val="0"/>
      <w:marTop w:val="0"/>
      <w:marBottom w:val="0"/>
      <w:divBdr>
        <w:top w:val="none" w:sz="0" w:space="0" w:color="auto"/>
        <w:left w:val="none" w:sz="0" w:space="0" w:color="auto"/>
        <w:bottom w:val="none" w:sz="0" w:space="0" w:color="auto"/>
        <w:right w:val="none" w:sz="0" w:space="0" w:color="auto"/>
      </w:divBdr>
    </w:div>
    <w:div w:id="1099179430">
      <w:bodyDiv w:val="1"/>
      <w:marLeft w:val="0"/>
      <w:marRight w:val="0"/>
      <w:marTop w:val="0"/>
      <w:marBottom w:val="0"/>
      <w:divBdr>
        <w:top w:val="none" w:sz="0" w:space="0" w:color="auto"/>
        <w:left w:val="none" w:sz="0" w:space="0" w:color="auto"/>
        <w:bottom w:val="none" w:sz="0" w:space="0" w:color="auto"/>
        <w:right w:val="none" w:sz="0" w:space="0" w:color="auto"/>
      </w:divBdr>
    </w:div>
    <w:div w:id="1105077296">
      <w:bodyDiv w:val="1"/>
      <w:marLeft w:val="0"/>
      <w:marRight w:val="0"/>
      <w:marTop w:val="0"/>
      <w:marBottom w:val="0"/>
      <w:divBdr>
        <w:top w:val="none" w:sz="0" w:space="0" w:color="auto"/>
        <w:left w:val="none" w:sz="0" w:space="0" w:color="auto"/>
        <w:bottom w:val="none" w:sz="0" w:space="0" w:color="auto"/>
        <w:right w:val="none" w:sz="0" w:space="0" w:color="auto"/>
      </w:divBdr>
    </w:div>
    <w:div w:id="1159687481">
      <w:bodyDiv w:val="1"/>
      <w:marLeft w:val="0"/>
      <w:marRight w:val="0"/>
      <w:marTop w:val="0"/>
      <w:marBottom w:val="0"/>
      <w:divBdr>
        <w:top w:val="none" w:sz="0" w:space="0" w:color="auto"/>
        <w:left w:val="none" w:sz="0" w:space="0" w:color="auto"/>
        <w:bottom w:val="none" w:sz="0" w:space="0" w:color="auto"/>
        <w:right w:val="none" w:sz="0" w:space="0" w:color="auto"/>
      </w:divBdr>
    </w:div>
    <w:div w:id="1168712427">
      <w:bodyDiv w:val="1"/>
      <w:marLeft w:val="0"/>
      <w:marRight w:val="0"/>
      <w:marTop w:val="0"/>
      <w:marBottom w:val="0"/>
      <w:divBdr>
        <w:top w:val="none" w:sz="0" w:space="0" w:color="auto"/>
        <w:left w:val="none" w:sz="0" w:space="0" w:color="auto"/>
        <w:bottom w:val="none" w:sz="0" w:space="0" w:color="auto"/>
        <w:right w:val="none" w:sz="0" w:space="0" w:color="auto"/>
      </w:divBdr>
    </w:div>
    <w:div w:id="1315838180">
      <w:bodyDiv w:val="1"/>
      <w:marLeft w:val="0"/>
      <w:marRight w:val="0"/>
      <w:marTop w:val="0"/>
      <w:marBottom w:val="0"/>
      <w:divBdr>
        <w:top w:val="none" w:sz="0" w:space="0" w:color="auto"/>
        <w:left w:val="none" w:sz="0" w:space="0" w:color="auto"/>
        <w:bottom w:val="none" w:sz="0" w:space="0" w:color="auto"/>
        <w:right w:val="none" w:sz="0" w:space="0" w:color="auto"/>
      </w:divBdr>
    </w:div>
    <w:div w:id="1394503939">
      <w:bodyDiv w:val="1"/>
      <w:marLeft w:val="0"/>
      <w:marRight w:val="0"/>
      <w:marTop w:val="0"/>
      <w:marBottom w:val="0"/>
      <w:divBdr>
        <w:top w:val="none" w:sz="0" w:space="0" w:color="auto"/>
        <w:left w:val="none" w:sz="0" w:space="0" w:color="auto"/>
        <w:bottom w:val="none" w:sz="0" w:space="0" w:color="auto"/>
        <w:right w:val="none" w:sz="0" w:space="0" w:color="auto"/>
      </w:divBdr>
    </w:div>
    <w:div w:id="1397631305">
      <w:bodyDiv w:val="1"/>
      <w:marLeft w:val="0"/>
      <w:marRight w:val="0"/>
      <w:marTop w:val="0"/>
      <w:marBottom w:val="0"/>
      <w:divBdr>
        <w:top w:val="none" w:sz="0" w:space="0" w:color="auto"/>
        <w:left w:val="none" w:sz="0" w:space="0" w:color="auto"/>
        <w:bottom w:val="none" w:sz="0" w:space="0" w:color="auto"/>
        <w:right w:val="none" w:sz="0" w:space="0" w:color="auto"/>
      </w:divBdr>
    </w:div>
    <w:div w:id="1488667043">
      <w:bodyDiv w:val="1"/>
      <w:marLeft w:val="0"/>
      <w:marRight w:val="0"/>
      <w:marTop w:val="0"/>
      <w:marBottom w:val="0"/>
      <w:divBdr>
        <w:top w:val="none" w:sz="0" w:space="0" w:color="auto"/>
        <w:left w:val="none" w:sz="0" w:space="0" w:color="auto"/>
        <w:bottom w:val="none" w:sz="0" w:space="0" w:color="auto"/>
        <w:right w:val="none" w:sz="0" w:space="0" w:color="auto"/>
      </w:divBdr>
    </w:div>
    <w:div w:id="1533231388">
      <w:bodyDiv w:val="1"/>
      <w:marLeft w:val="0"/>
      <w:marRight w:val="0"/>
      <w:marTop w:val="0"/>
      <w:marBottom w:val="0"/>
      <w:divBdr>
        <w:top w:val="none" w:sz="0" w:space="0" w:color="auto"/>
        <w:left w:val="none" w:sz="0" w:space="0" w:color="auto"/>
        <w:bottom w:val="none" w:sz="0" w:space="0" w:color="auto"/>
        <w:right w:val="none" w:sz="0" w:space="0" w:color="auto"/>
      </w:divBdr>
    </w:div>
    <w:div w:id="1572156743">
      <w:bodyDiv w:val="1"/>
      <w:marLeft w:val="0"/>
      <w:marRight w:val="0"/>
      <w:marTop w:val="0"/>
      <w:marBottom w:val="0"/>
      <w:divBdr>
        <w:top w:val="none" w:sz="0" w:space="0" w:color="auto"/>
        <w:left w:val="none" w:sz="0" w:space="0" w:color="auto"/>
        <w:bottom w:val="none" w:sz="0" w:space="0" w:color="auto"/>
        <w:right w:val="none" w:sz="0" w:space="0" w:color="auto"/>
      </w:divBdr>
    </w:div>
    <w:div w:id="1578662136">
      <w:bodyDiv w:val="1"/>
      <w:marLeft w:val="0"/>
      <w:marRight w:val="0"/>
      <w:marTop w:val="0"/>
      <w:marBottom w:val="0"/>
      <w:divBdr>
        <w:top w:val="none" w:sz="0" w:space="0" w:color="auto"/>
        <w:left w:val="none" w:sz="0" w:space="0" w:color="auto"/>
        <w:bottom w:val="none" w:sz="0" w:space="0" w:color="auto"/>
        <w:right w:val="none" w:sz="0" w:space="0" w:color="auto"/>
      </w:divBdr>
    </w:div>
    <w:div w:id="1635867989">
      <w:bodyDiv w:val="1"/>
      <w:marLeft w:val="0"/>
      <w:marRight w:val="0"/>
      <w:marTop w:val="0"/>
      <w:marBottom w:val="0"/>
      <w:divBdr>
        <w:top w:val="none" w:sz="0" w:space="0" w:color="auto"/>
        <w:left w:val="none" w:sz="0" w:space="0" w:color="auto"/>
        <w:bottom w:val="none" w:sz="0" w:space="0" w:color="auto"/>
        <w:right w:val="none" w:sz="0" w:space="0" w:color="auto"/>
      </w:divBdr>
    </w:div>
    <w:div w:id="1651321103">
      <w:bodyDiv w:val="1"/>
      <w:marLeft w:val="0"/>
      <w:marRight w:val="0"/>
      <w:marTop w:val="0"/>
      <w:marBottom w:val="0"/>
      <w:divBdr>
        <w:top w:val="none" w:sz="0" w:space="0" w:color="auto"/>
        <w:left w:val="none" w:sz="0" w:space="0" w:color="auto"/>
        <w:bottom w:val="none" w:sz="0" w:space="0" w:color="auto"/>
        <w:right w:val="none" w:sz="0" w:space="0" w:color="auto"/>
      </w:divBdr>
    </w:div>
    <w:div w:id="1677344392">
      <w:bodyDiv w:val="1"/>
      <w:marLeft w:val="0"/>
      <w:marRight w:val="0"/>
      <w:marTop w:val="0"/>
      <w:marBottom w:val="0"/>
      <w:divBdr>
        <w:top w:val="none" w:sz="0" w:space="0" w:color="auto"/>
        <w:left w:val="none" w:sz="0" w:space="0" w:color="auto"/>
        <w:bottom w:val="none" w:sz="0" w:space="0" w:color="auto"/>
        <w:right w:val="none" w:sz="0" w:space="0" w:color="auto"/>
      </w:divBdr>
    </w:div>
    <w:div w:id="1687899946">
      <w:bodyDiv w:val="1"/>
      <w:marLeft w:val="0"/>
      <w:marRight w:val="0"/>
      <w:marTop w:val="0"/>
      <w:marBottom w:val="0"/>
      <w:divBdr>
        <w:top w:val="none" w:sz="0" w:space="0" w:color="auto"/>
        <w:left w:val="none" w:sz="0" w:space="0" w:color="auto"/>
        <w:bottom w:val="none" w:sz="0" w:space="0" w:color="auto"/>
        <w:right w:val="none" w:sz="0" w:space="0" w:color="auto"/>
      </w:divBdr>
    </w:div>
    <w:div w:id="1737052175">
      <w:bodyDiv w:val="1"/>
      <w:marLeft w:val="0"/>
      <w:marRight w:val="0"/>
      <w:marTop w:val="0"/>
      <w:marBottom w:val="0"/>
      <w:divBdr>
        <w:top w:val="none" w:sz="0" w:space="0" w:color="auto"/>
        <w:left w:val="none" w:sz="0" w:space="0" w:color="auto"/>
        <w:bottom w:val="none" w:sz="0" w:space="0" w:color="auto"/>
        <w:right w:val="none" w:sz="0" w:space="0" w:color="auto"/>
      </w:divBdr>
    </w:div>
    <w:div w:id="1777169461">
      <w:bodyDiv w:val="1"/>
      <w:marLeft w:val="0"/>
      <w:marRight w:val="0"/>
      <w:marTop w:val="0"/>
      <w:marBottom w:val="0"/>
      <w:divBdr>
        <w:top w:val="none" w:sz="0" w:space="0" w:color="auto"/>
        <w:left w:val="none" w:sz="0" w:space="0" w:color="auto"/>
        <w:bottom w:val="none" w:sz="0" w:space="0" w:color="auto"/>
        <w:right w:val="none" w:sz="0" w:space="0" w:color="auto"/>
      </w:divBdr>
      <w:divsChild>
        <w:div w:id="914053993">
          <w:marLeft w:val="0"/>
          <w:marRight w:val="0"/>
          <w:marTop w:val="0"/>
          <w:marBottom w:val="0"/>
          <w:divBdr>
            <w:top w:val="none" w:sz="0" w:space="0" w:color="auto"/>
            <w:left w:val="none" w:sz="0" w:space="0" w:color="auto"/>
            <w:bottom w:val="none" w:sz="0" w:space="0" w:color="auto"/>
            <w:right w:val="none" w:sz="0" w:space="0" w:color="auto"/>
          </w:divBdr>
          <w:divsChild>
            <w:div w:id="1769542392">
              <w:marLeft w:val="0"/>
              <w:marRight w:val="0"/>
              <w:marTop w:val="0"/>
              <w:marBottom w:val="0"/>
              <w:divBdr>
                <w:top w:val="none" w:sz="0" w:space="0" w:color="auto"/>
                <w:left w:val="none" w:sz="0" w:space="0" w:color="auto"/>
                <w:bottom w:val="none" w:sz="0" w:space="0" w:color="auto"/>
                <w:right w:val="none" w:sz="0" w:space="0" w:color="auto"/>
              </w:divBdr>
              <w:divsChild>
                <w:div w:id="31075651">
                  <w:marLeft w:val="0"/>
                  <w:marRight w:val="0"/>
                  <w:marTop w:val="0"/>
                  <w:marBottom w:val="0"/>
                  <w:divBdr>
                    <w:top w:val="none" w:sz="0" w:space="0" w:color="auto"/>
                    <w:left w:val="none" w:sz="0" w:space="0" w:color="auto"/>
                    <w:bottom w:val="none" w:sz="0" w:space="0" w:color="auto"/>
                    <w:right w:val="none" w:sz="0" w:space="0" w:color="auto"/>
                  </w:divBdr>
                  <w:divsChild>
                    <w:div w:id="16040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2836">
      <w:bodyDiv w:val="1"/>
      <w:marLeft w:val="0"/>
      <w:marRight w:val="0"/>
      <w:marTop w:val="0"/>
      <w:marBottom w:val="0"/>
      <w:divBdr>
        <w:top w:val="none" w:sz="0" w:space="0" w:color="auto"/>
        <w:left w:val="none" w:sz="0" w:space="0" w:color="auto"/>
        <w:bottom w:val="none" w:sz="0" w:space="0" w:color="auto"/>
        <w:right w:val="none" w:sz="0" w:space="0" w:color="auto"/>
      </w:divBdr>
    </w:div>
    <w:div w:id="1818063569">
      <w:bodyDiv w:val="1"/>
      <w:marLeft w:val="0"/>
      <w:marRight w:val="0"/>
      <w:marTop w:val="0"/>
      <w:marBottom w:val="0"/>
      <w:divBdr>
        <w:top w:val="none" w:sz="0" w:space="0" w:color="auto"/>
        <w:left w:val="none" w:sz="0" w:space="0" w:color="auto"/>
        <w:bottom w:val="none" w:sz="0" w:space="0" w:color="auto"/>
        <w:right w:val="none" w:sz="0" w:space="0" w:color="auto"/>
      </w:divBdr>
    </w:div>
    <w:div w:id="1828864061">
      <w:bodyDiv w:val="1"/>
      <w:marLeft w:val="0"/>
      <w:marRight w:val="0"/>
      <w:marTop w:val="0"/>
      <w:marBottom w:val="0"/>
      <w:divBdr>
        <w:top w:val="none" w:sz="0" w:space="0" w:color="auto"/>
        <w:left w:val="none" w:sz="0" w:space="0" w:color="auto"/>
        <w:bottom w:val="none" w:sz="0" w:space="0" w:color="auto"/>
        <w:right w:val="none" w:sz="0" w:space="0" w:color="auto"/>
      </w:divBdr>
    </w:div>
    <w:div w:id="1852447537">
      <w:bodyDiv w:val="1"/>
      <w:marLeft w:val="0"/>
      <w:marRight w:val="0"/>
      <w:marTop w:val="0"/>
      <w:marBottom w:val="0"/>
      <w:divBdr>
        <w:top w:val="none" w:sz="0" w:space="0" w:color="auto"/>
        <w:left w:val="none" w:sz="0" w:space="0" w:color="auto"/>
        <w:bottom w:val="none" w:sz="0" w:space="0" w:color="auto"/>
        <w:right w:val="none" w:sz="0" w:space="0" w:color="auto"/>
      </w:divBdr>
    </w:div>
    <w:div w:id="1853951791">
      <w:bodyDiv w:val="1"/>
      <w:marLeft w:val="0"/>
      <w:marRight w:val="0"/>
      <w:marTop w:val="0"/>
      <w:marBottom w:val="0"/>
      <w:divBdr>
        <w:top w:val="none" w:sz="0" w:space="0" w:color="auto"/>
        <w:left w:val="none" w:sz="0" w:space="0" w:color="auto"/>
        <w:bottom w:val="none" w:sz="0" w:space="0" w:color="auto"/>
        <w:right w:val="none" w:sz="0" w:space="0" w:color="auto"/>
      </w:divBdr>
    </w:div>
    <w:div w:id="1856570813">
      <w:bodyDiv w:val="1"/>
      <w:marLeft w:val="0"/>
      <w:marRight w:val="0"/>
      <w:marTop w:val="0"/>
      <w:marBottom w:val="0"/>
      <w:divBdr>
        <w:top w:val="none" w:sz="0" w:space="0" w:color="auto"/>
        <w:left w:val="none" w:sz="0" w:space="0" w:color="auto"/>
        <w:bottom w:val="none" w:sz="0" w:space="0" w:color="auto"/>
        <w:right w:val="none" w:sz="0" w:space="0" w:color="auto"/>
      </w:divBdr>
    </w:div>
    <w:div w:id="1922717454">
      <w:bodyDiv w:val="1"/>
      <w:marLeft w:val="0"/>
      <w:marRight w:val="0"/>
      <w:marTop w:val="0"/>
      <w:marBottom w:val="0"/>
      <w:divBdr>
        <w:top w:val="none" w:sz="0" w:space="0" w:color="auto"/>
        <w:left w:val="none" w:sz="0" w:space="0" w:color="auto"/>
        <w:bottom w:val="none" w:sz="0" w:space="0" w:color="auto"/>
        <w:right w:val="none" w:sz="0" w:space="0" w:color="auto"/>
      </w:divBdr>
    </w:div>
    <w:div w:id="1933275895">
      <w:bodyDiv w:val="1"/>
      <w:marLeft w:val="0"/>
      <w:marRight w:val="0"/>
      <w:marTop w:val="0"/>
      <w:marBottom w:val="0"/>
      <w:divBdr>
        <w:top w:val="none" w:sz="0" w:space="0" w:color="auto"/>
        <w:left w:val="none" w:sz="0" w:space="0" w:color="auto"/>
        <w:bottom w:val="none" w:sz="0" w:space="0" w:color="auto"/>
        <w:right w:val="none" w:sz="0" w:space="0" w:color="auto"/>
      </w:divBdr>
    </w:div>
    <w:div w:id="1959138317">
      <w:bodyDiv w:val="1"/>
      <w:marLeft w:val="0"/>
      <w:marRight w:val="0"/>
      <w:marTop w:val="0"/>
      <w:marBottom w:val="0"/>
      <w:divBdr>
        <w:top w:val="none" w:sz="0" w:space="0" w:color="auto"/>
        <w:left w:val="none" w:sz="0" w:space="0" w:color="auto"/>
        <w:bottom w:val="none" w:sz="0" w:space="0" w:color="auto"/>
        <w:right w:val="none" w:sz="0" w:space="0" w:color="auto"/>
      </w:divBdr>
    </w:div>
    <w:div w:id="1963337433">
      <w:bodyDiv w:val="1"/>
      <w:marLeft w:val="0"/>
      <w:marRight w:val="0"/>
      <w:marTop w:val="0"/>
      <w:marBottom w:val="0"/>
      <w:divBdr>
        <w:top w:val="none" w:sz="0" w:space="0" w:color="auto"/>
        <w:left w:val="none" w:sz="0" w:space="0" w:color="auto"/>
        <w:bottom w:val="none" w:sz="0" w:space="0" w:color="auto"/>
        <w:right w:val="none" w:sz="0" w:space="0" w:color="auto"/>
      </w:divBdr>
    </w:div>
    <w:div w:id="1975720424">
      <w:bodyDiv w:val="1"/>
      <w:marLeft w:val="0"/>
      <w:marRight w:val="0"/>
      <w:marTop w:val="0"/>
      <w:marBottom w:val="0"/>
      <w:divBdr>
        <w:top w:val="none" w:sz="0" w:space="0" w:color="auto"/>
        <w:left w:val="none" w:sz="0" w:space="0" w:color="auto"/>
        <w:bottom w:val="none" w:sz="0" w:space="0" w:color="auto"/>
        <w:right w:val="none" w:sz="0" w:space="0" w:color="auto"/>
      </w:divBdr>
    </w:div>
    <w:div w:id="1989479174">
      <w:bodyDiv w:val="1"/>
      <w:marLeft w:val="0"/>
      <w:marRight w:val="0"/>
      <w:marTop w:val="0"/>
      <w:marBottom w:val="0"/>
      <w:divBdr>
        <w:top w:val="none" w:sz="0" w:space="0" w:color="auto"/>
        <w:left w:val="none" w:sz="0" w:space="0" w:color="auto"/>
        <w:bottom w:val="none" w:sz="0" w:space="0" w:color="auto"/>
        <w:right w:val="none" w:sz="0" w:space="0" w:color="auto"/>
      </w:divBdr>
    </w:div>
    <w:div w:id="1995451295">
      <w:bodyDiv w:val="1"/>
      <w:marLeft w:val="0"/>
      <w:marRight w:val="0"/>
      <w:marTop w:val="0"/>
      <w:marBottom w:val="0"/>
      <w:divBdr>
        <w:top w:val="none" w:sz="0" w:space="0" w:color="auto"/>
        <w:left w:val="none" w:sz="0" w:space="0" w:color="auto"/>
        <w:bottom w:val="none" w:sz="0" w:space="0" w:color="auto"/>
        <w:right w:val="none" w:sz="0" w:space="0" w:color="auto"/>
      </w:divBdr>
    </w:div>
    <w:div w:id="20075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ingre.com/appraisal-adjustments-solving-common-problems/" TargetMode="External"/><Relationship Id="rId13" Type="http://schemas.openxmlformats.org/officeDocument/2006/relationships/hyperlink" Target="http://www.workingre.com/fall-webinar-series-payment-page/"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workingre.com/insurance-liability-town-hall-complaints-claims-and-your-teflon-suit-fr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orkingre.com/" TargetMode="External"/><Relationship Id="rId11" Type="http://schemas.openxmlformats.org/officeDocument/2006/relationships/hyperlink" Target="http://www.workingre.com/sept-2015-how-and-why-of-your-apprais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rkingre.com/appraisal-adjustments-solving-common-problems/" TargetMode="External"/><Relationship Id="rId4" Type="http://schemas.openxmlformats.org/officeDocument/2006/relationships/settings" Target="settings.xml"/><Relationship Id="rId9" Type="http://schemas.openxmlformats.org/officeDocument/2006/relationships/hyperlink" Target="http://www.workingre.com/professional-appraiser-series/" TargetMode="External"/><Relationship Id="rId14" Type="http://schemas.openxmlformats.org/officeDocument/2006/relationships/hyperlink" Target="http://www.workingre.com/fall-webinar-series-paymen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13383</CharactersWithSpaces>
  <SharedDoc>false</SharedDoc>
  <HLinks>
    <vt:vector size="150" baseType="variant">
      <vt:variant>
        <vt:i4>5767188</vt:i4>
      </vt:variant>
      <vt:variant>
        <vt:i4>72</vt:i4>
      </vt:variant>
      <vt:variant>
        <vt:i4>0</vt:i4>
      </vt:variant>
      <vt:variant>
        <vt:i4>5</vt:i4>
      </vt:variant>
      <vt:variant>
        <vt:lpwstr>http://www.workingre.com/fha-checklist-and-ebook/</vt:lpwstr>
      </vt:variant>
      <vt:variant>
        <vt:lpwstr/>
      </vt:variant>
      <vt:variant>
        <vt:i4>5767188</vt:i4>
      </vt:variant>
      <vt:variant>
        <vt:i4>66</vt:i4>
      </vt:variant>
      <vt:variant>
        <vt:i4>0</vt:i4>
      </vt:variant>
      <vt:variant>
        <vt:i4>5</vt:i4>
      </vt:variant>
      <vt:variant>
        <vt:lpwstr>http://www.workingre.com/fha-checklist-and-ebook/</vt:lpwstr>
      </vt:variant>
      <vt:variant>
        <vt:lpwstr/>
      </vt:variant>
      <vt:variant>
        <vt:i4>5046288</vt:i4>
      </vt:variant>
      <vt:variant>
        <vt:i4>63</vt:i4>
      </vt:variant>
      <vt:variant>
        <vt:i4>0</vt:i4>
      </vt:variant>
      <vt:variant>
        <vt:i4>5</vt:i4>
      </vt:variant>
      <vt:variant>
        <vt:lpwstr>http://www.workingre.com/amc-resource-guide/</vt:lpwstr>
      </vt:variant>
      <vt:variant>
        <vt:lpwstr/>
      </vt:variant>
      <vt:variant>
        <vt:i4>5046288</vt:i4>
      </vt:variant>
      <vt:variant>
        <vt:i4>57</vt:i4>
      </vt:variant>
      <vt:variant>
        <vt:i4>0</vt:i4>
      </vt:variant>
      <vt:variant>
        <vt:i4>5</vt:i4>
      </vt:variant>
      <vt:variant>
        <vt:lpwstr>http://www.workingre.com/amc-resource-guide/</vt:lpwstr>
      </vt:variant>
      <vt:variant>
        <vt:lpwstr/>
      </vt:variant>
      <vt:variant>
        <vt:i4>851999</vt:i4>
      </vt:variant>
      <vt:variant>
        <vt:i4>54</vt:i4>
      </vt:variant>
      <vt:variant>
        <vt:i4>0</vt:i4>
      </vt:variant>
      <vt:variant>
        <vt:i4>5</vt:i4>
      </vt:variant>
      <vt:variant>
        <vt:lpwstr>http://www.workingre.com/support-prove-adjustments-june-2015/</vt:lpwstr>
      </vt:variant>
      <vt:variant>
        <vt:lpwstr/>
      </vt:variant>
      <vt:variant>
        <vt:i4>851999</vt:i4>
      </vt:variant>
      <vt:variant>
        <vt:i4>48</vt:i4>
      </vt:variant>
      <vt:variant>
        <vt:i4>0</vt:i4>
      </vt:variant>
      <vt:variant>
        <vt:i4>5</vt:i4>
      </vt:variant>
      <vt:variant>
        <vt:lpwstr>http://www.workingre.com/support-prove-adjustments-june-2015/</vt:lpwstr>
      </vt:variant>
      <vt:variant>
        <vt:lpwstr/>
      </vt:variant>
      <vt:variant>
        <vt:i4>5308499</vt:i4>
      </vt:variant>
      <vt:variant>
        <vt:i4>45</vt:i4>
      </vt:variant>
      <vt:variant>
        <vt:i4>0</vt:i4>
      </vt:variant>
      <vt:variant>
        <vt:i4>5</vt:i4>
      </vt:variant>
      <vt:variant>
        <vt:lpwstr>http://orep.org/appraisers-eo-insurance/</vt:lpwstr>
      </vt:variant>
      <vt:variant>
        <vt:lpwstr/>
      </vt:variant>
      <vt:variant>
        <vt:i4>5308499</vt:i4>
      </vt:variant>
      <vt:variant>
        <vt:i4>39</vt:i4>
      </vt:variant>
      <vt:variant>
        <vt:i4>0</vt:i4>
      </vt:variant>
      <vt:variant>
        <vt:i4>5</vt:i4>
      </vt:variant>
      <vt:variant>
        <vt:lpwstr>http://orep.org/appraisers-eo-insurance/</vt:lpwstr>
      </vt:variant>
      <vt:variant>
        <vt:lpwstr/>
      </vt:variant>
      <vt:variant>
        <vt:i4>6160508</vt:i4>
      </vt:variant>
      <vt:variant>
        <vt:i4>36</vt:i4>
      </vt:variant>
      <vt:variant>
        <vt:i4>0</vt:i4>
      </vt:variant>
      <vt:variant>
        <vt:i4>5</vt:i4>
      </vt:variant>
      <vt:variant>
        <vt:lpwstr>mailto:Bryan@BryanSchwartzLaw.com</vt:lpwstr>
      </vt:variant>
      <vt:variant>
        <vt:lpwstr/>
      </vt:variant>
      <vt:variant>
        <vt:i4>5046360</vt:i4>
      </vt:variant>
      <vt:variant>
        <vt:i4>33</vt:i4>
      </vt:variant>
      <vt:variant>
        <vt:i4>0</vt:i4>
      </vt:variant>
      <vt:variant>
        <vt:i4>5</vt:i4>
      </vt:variant>
      <vt:variant>
        <vt:lpwstr>http://www.bryanschwartzlaw.com/</vt:lpwstr>
      </vt:variant>
      <vt:variant>
        <vt:lpwstr/>
      </vt:variant>
      <vt:variant>
        <vt:i4>7536672</vt:i4>
      </vt:variant>
      <vt:variant>
        <vt:i4>30</vt:i4>
      </vt:variant>
      <vt:variant>
        <vt:i4>0</vt:i4>
      </vt:variant>
      <vt:variant>
        <vt:i4>5</vt:i4>
      </vt:variant>
      <vt:variant>
        <vt:lpwstr>http://www.workingre.com/fall-webinar-series-payment-page/</vt:lpwstr>
      </vt:variant>
      <vt:variant>
        <vt:lpwstr/>
      </vt:variant>
      <vt:variant>
        <vt:i4>7536672</vt:i4>
      </vt:variant>
      <vt:variant>
        <vt:i4>27</vt:i4>
      </vt:variant>
      <vt:variant>
        <vt:i4>0</vt:i4>
      </vt:variant>
      <vt:variant>
        <vt:i4>5</vt:i4>
      </vt:variant>
      <vt:variant>
        <vt:lpwstr>http://www.workingre.com/fall-webinar-series-payment-page/</vt:lpwstr>
      </vt:variant>
      <vt:variant>
        <vt:lpwstr/>
      </vt:variant>
      <vt:variant>
        <vt:i4>7798896</vt:i4>
      </vt:variant>
      <vt:variant>
        <vt:i4>24</vt:i4>
      </vt:variant>
      <vt:variant>
        <vt:i4>0</vt:i4>
      </vt:variant>
      <vt:variant>
        <vt:i4>5</vt:i4>
      </vt:variant>
      <vt:variant>
        <vt:lpwstr>http://www.workingre.com/appraisal-adjustments-solving-common-problems/</vt:lpwstr>
      </vt:variant>
      <vt:variant>
        <vt:lpwstr/>
      </vt:variant>
      <vt:variant>
        <vt:i4>3997759</vt:i4>
      </vt:variant>
      <vt:variant>
        <vt:i4>21</vt:i4>
      </vt:variant>
      <vt:variant>
        <vt:i4>0</vt:i4>
      </vt:variant>
      <vt:variant>
        <vt:i4>5</vt:i4>
      </vt:variant>
      <vt:variant>
        <vt:lpwstr>http://www.workingre.com/professional-appraiser-series/</vt:lpwstr>
      </vt:variant>
      <vt:variant>
        <vt:lpwstr/>
      </vt:variant>
      <vt:variant>
        <vt:i4>983112</vt:i4>
      </vt:variant>
      <vt:variant>
        <vt:i4>18</vt:i4>
      </vt:variant>
      <vt:variant>
        <vt:i4>0</vt:i4>
      </vt:variant>
      <vt:variant>
        <vt:i4>5</vt:i4>
      </vt:variant>
      <vt:variant>
        <vt:lpwstr>https://attendee.gotowebinar.com/register/833975539998961409</vt:lpwstr>
      </vt:variant>
      <vt:variant>
        <vt:lpwstr/>
      </vt:variant>
      <vt:variant>
        <vt:i4>7012451</vt:i4>
      </vt:variant>
      <vt:variant>
        <vt:i4>15</vt:i4>
      </vt:variant>
      <vt:variant>
        <vt:i4>0</vt:i4>
      </vt:variant>
      <vt:variant>
        <vt:i4>5</vt:i4>
      </vt:variant>
      <vt:variant>
        <vt:lpwstr>http://www.workingre.com/sept-2015-how-and-why-of-your-appraisals/</vt:lpwstr>
      </vt:variant>
      <vt:variant>
        <vt:lpwstr/>
      </vt:variant>
      <vt:variant>
        <vt:i4>7012451</vt:i4>
      </vt:variant>
      <vt:variant>
        <vt:i4>12</vt:i4>
      </vt:variant>
      <vt:variant>
        <vt:i4>0</vt:i4>
      </vt:variant>
      <vt:variant>
        <vt:i4>5</vt:i4>
      </vt:variant>
      <vt:variant>
        <vt:lpwstr>http://www.workingre.com/sept-2015-how-and-why-of-your-appraisals/</vt:lpwstr>
      </vt:variant>
      <vt:variant>
        <vt:lpwstr/>
      </vt:variant>
      <vt:variant>
        <vt:i4>7012451</vt:i4>
      </vt:variant>
      <vt:variant>
        <vt:i4>9</vt:i4>
      </vt:variant>
      <vt:variant>
        <vt:i4>0</vt:i4>
      </vt:variant>
      <vt:variant>
        <vt:i4>5</vt:i4>
      </vt:variant>
      <vt:variant>
        <vt:lpwstr>http://www.workingre.com/sept-2015-how-and-why-of-your-appraisals/</vt:lpwstr>
      </vt:variant>
      <vt:variant>
        <vt:lpwstr/>
      </vt:variant>
      <vt:variant>
        <vt:i4>3276907</vt:i4>
      </vt:variant>
      <vt:variant>
        <vt:i4>6</vt:i4>
      </vt:variant>
      <vt:variant>
        <vt:i4>0</vt:i4>
      </vt:variant>
      <vt:variant>
        <vt:i4>5</vt:i4>
      </vt:variant>
      <vt:variant>
        <vt:lpwstr>http://www.workingre.com/appraisers-entitled-overtime-court-holds/</vt:lpwstr>
      </vt:variant>
      <vt:variant>
        <vt:lpwstr/>
      </vt:variant>
      <vt:variant>
        <vt:i4>7798833</vt:i4>
      </vt:variant>
      <vt:variant>
        <vt:i4>3</vt:i4>
      </vt:variant>
      <vt:variant>
        <vt:i4>0</vt:i4>
      </vt:variant>
      <vt:variant>
        <vt:i4>5</vt:i4>
      </vt:variant>
      <vt:variant>
        <vt:lpwstr>http://www.workingre.com/court-certifies-class-approves-nationwide-class-settlement-review-appraisers/</vt:lpwstr>
      </vt:variant>
      <vt:variant>
        <vt:lpwstr/>
      </vt:variant>
      <vt:variant>
        <vt:i4>4915209</vt:i4>
      </vt:variant>
      <vt:variant>
        <vt:i4>0</vt:i4>
      </vt:variant>
      <vt:variant>
        <vt:i4>0</vt:i4>
      </vt:variant>
      <vt:variant>
        <vt:i4>5</vt:i4>
      </vt:variant>
      <vt:variant>
        <vt:lpwstr>http://www.workingre.com/</vt:lpwstr>
      </vt:variant>
      <vt:variant>
        <vt:lpwstr/>
      </vt:variant>
      <vt:variant>
        <vt:i4>5308499</vt:i4>
      </vt:variant>
      <vt:variant>
        <vt:i4>9775</vt:i4>
      </vt:variant>
      <vt:variant>
        <vt:i4>1029</vt:i4>
      </vt:variant>
      <vt:variant>
        <vt:i4>4</vt:i4>
      </vt:variant>
      <vt:variant>
        <vt:lpwstr>http://orep.org/appraisers-eo-insurance/</vt:lpwstr>
      </vt:variant>
      <vt:variant>
        <vt:lpwstr/>
      </vt:variant>
      <vt:variant>
        <vt:i4>851999</vt:i4>
      </vt:variant>
      <vt:variant>
        <vt:i4>10074</vt:i4>
      </vt:variant>
      <vt:variant>
        <vt:i4>1028</vt:i4>
      </vt:variant>
      <vt:variant>
        <vt:i4>4</vt:i4>
      </vt:variant>
      <vt:variant>
        <vt:lpwstr>http://www.workingre.com/support-prove-adjustments-june-2015/</vt:lpwstr>
      </vt:variant>
      <vt:variant>
        <vt:lpwstr/>
      </vt:variant>
      <vt:variant>
        <vt:i4>5046288</vt:i4>
      </vt:variant>
      <vt:variant>
        <vt:i4>10388</vt:i4>
      </vt:variant>
      <vt:variant>
        <vt:i4>1027</vt:i4>
      </vt:variant>
      <vt:variant>
        <vt:i4>4</vt:i4>
      </vt:variant>
      <vt:variant>
        <vt:lpwstr>http://www.workingre.com/amc-resource-guide/</vt:lpwstr>
      </vt:variant>
      <vt:variant>
        <vt:lpwstr/>
      </vt:variant>
      <vt:variant>
        <vt:i4>5767188</vt:i4>
      </vt:variant>
      <vt:variant>
        <vt:i4>10664</vt:i4>
      </vt:variant>
      <vt:variant>
        <vt:i4>1026</vt:i4>
      </vt:variant>
      <vt:variant>
        <vt:i4>4</vt:i4>
      </vt:variant>
      <vt:variant>
        <vt:lpwstr>http://www.workingre.com/fha-checklist-and-ebook/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OREP007</dc:creator>
  <cp:lastModifiedBy>Cary</cp:lastModifiedBy>
  <cp:revision>4</cp:revision>
  <dcterms:created xsi:type="dcterms:W3CDTF">2015-10-28T18:40:00Z</dcterms:created>
  <dcterms:modified xsi:type="dcterms:W3CDTF">2015-10-28T19:50:00Z</dcterms:modified>
</cp:coreProperties>
</file>