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1E2830"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Pr>
          <w:rFonts w:ascii="Verdana" w:hAnsi="Verdana" w:cs="Arial"/>
          <w:b/>
          <w:bCs/>
          <w:i/>
          <w:iCs/>
          <w:noProof/>
          <w:color w:val="000000"/>
          <w:sz w:val="18"/>
          <w:szCs w:val="18"/>
        </w:rPr>
        <w:drawing>
          <wp:inline distT="0" distB="0" distL="0" distR="0" wp14:anchorId="267FEF89" wp14:editId="1515270D">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1E2830" w:rsidRDefault="00E12D09" w:rsidP="00EB1258">
      <w:pPr>
        <w:rPr>
          <w:rFonts w:ascii="Verdana" w:hAnsi="Verdana"/>
          <w:b/>
          <w:bCs/>
          <w:color w:val="6633CC"/>
          <w:sz w:val="18"/>
          <w:szCs w:val="18"/>
        </w:rPr>
      </w:pPr>
    </w:p>
    <w:p w:rsidR="00720C58" w:rsidRDefault="00EB1258" w:rsidP="00720C58">
      <w:pPr>
        <w:rPr>
          <w:rFonts w:ascii="Verdana" w:hAnsi="Verdana"/>
          <w:b/>
          <w:bCs/>
          <w:color w:val="6633CC"/>
          <w:sz w:val="18"/>
          <w:szCs w:val="18"/>
        </w:rPr>
      </w:pPr>
      <w:r w:rsidRPr="001E2830">
        <w:rPr>
          <w:rFonts w:ascii="Verdana" w:hAnsi="Verdana"/>
          <w:b/>
          <w:bCs/>
          <w:color w:val="6633CC"/>
          <w:sz w:val="18"/>
          <w:szCs w:val="18"/>
        </w:rPr>
        <w:br/>
      </w:r>
      <w:r w:rsidR="00C10E44">
        <w:rPr>
          <w:rFonts w:ascii="Verdana" w:hAnsi="Verdana"/>
          <w:b/>
          <w:bCs/>
          <w:color w:val="6633CC"/>
          <w:sz w:val="18"/>
          <w:szCs w:val="18"/>
        </w:rPr>
        <w:t>Observe, Analyze and Report: In that Order</w:t>
      </w:r>
    </w:p>
    <w:p w:rsidR="00720C58" w:rsidRPr="00720C58" w:rsidRDefault="005C618F" w:rsidP="00720C58">
      <w:pPr>
        <w:rPr>
          <w:rFonts w:ascii="Verdana" w:hAnsi="Verdana"/>
          <w:bCs/>
          <w:sz w:val="18"/>
          <w:szCs w:val="18"/>
        </w:rPr>
      </w:pPr>
      <w:r>
        <w:rPr>
          <w:rFonts w:ascii="Verdana" w:hAnsi="Verdana"/>
          <w:bCs/>
          <w:sz w:val="18"/>
          <w:szCs w:val="18"/>
        </w:rPr>
        <w:t xml:space="preserve">By </w:t>
      </w:r>
      <w:r w:rsidR="00C10E44" w:rsidRPr="00C10E44">
        <w:rPr>
          <w:rFonts w:ascii="Verdana" w:hAnsi="Verdana"/>
          <w:bCs/>
          <w:sz w:val="18"/>
          <w:szCs w:val="18"/>
        </w:rPr>
        <w:t>Maureen Sweeney, SRA and Rachel Massey, SRA</w:t>
      </w:r>
    </w:p>
    <w:p w:rsidR="00C10E44" w:rsidRPr="00C10E44" w:rsidRDefault="00EB1258" w:rsidP="00C10E44">
      <w:pPr>
        <w:rPr>
          <w:rFonts w:ascii="Verdana" w:hAnsi="Verdana"/>
          <w:sz w:val="18"/>
          <w:szCs w:val="18"/>
        </w:rPr>
      </w:pPr>
      <w:r w:rsidRPr="001E2830">
        <w:rPr>
          <w:rFonts w:ascii="Verdana" w:hAnsi="Verdana" w:cs="SimianText-Chimpanzee"/>
          <w:sz w:val="18"/>
          <w:szCs w:val="18"/>
        </w:rPr>
        <w:br/>
      </w:r>
      <w:r w:rsidR="00C10E44" w:rsidRPr="00C10E44">
        <w:rPr>
          <w:rFonts w:ascii="Verdana" w:hAnsi="Verdana"/>
          <w:sz w:val="18"/>
          <w:szCs w:val="18"/>
        </w:rPr>
        <w:t xml:space="preserve">Appraisers have always faced objections and challenges to their reports as soon as they leave the office. Some are preventable, such as typographical errors or taking a photograph of the wrong comparable property- after all, we are only human. Others are out of the appraiser’s control, such as a foreclosure or a loan repurchase of a property we appraised. </w:t>
      </w:r>
      <w:r w:rsidR="00C10E44" w:rsidRPr="00C10E44">
        <w:rPr>
          <w:rFonts w:ascii="Verdana" w:hAnsi="Verdana"/>
          <w:sz w:val="18"/>
          <w:szCs w:val="18"/>
        </w:rPr>
        <w:br/>
      </w:r>
      <w:r w:rsidR="00C10E44" w:rsidRPr="00C10E44">
        <w:rPr>
          <w:rFonts w:ascii="Verdana" w:hAnsi="Verdana"/>
          <w:sz w:val="18"/>
          <w:szCs w:val="18"/>
        </w:rPr>
        <w:br/>
        <w:t>When a loan is repurchased, the Government Sponsored Entity (GSE) or lender may turn to the original appraisal to evaluate its accuracy and verify that the observations made during the time of inspection were correctly documented. They may look to see if the contract, market conditions, prior sales history and other observations were analyzed, and that those observations, analysis and conclusions were communicated in a manner that was not misleading. Many of us are great at documenting what we see at a property as well as communicating these observations in our appraisal reports. Unfortunately, many appraisers are not as strong at analyzing data and are uncertain of what needs to be addressed, particularly related to prior sales of the subject and the comparable properties included in the report.</w:t>
      </w:r>
      <w:r w:rsidR="00C10E44"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To analyze something is to examine and interpret it. For the appraiser, it is the analysis of the data that we collect, examine and interpret. Appraisers need to report their analysis clearly and accurately to prevent future problems; “an ounce of prevention is worth a pound of cure.” Remember, most of our clients are not mind readers and may need to be walked through why there was a price increase or decrease to the subject or one of the comparable properties.</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Most residential appraisers whose work is exclusively mortgage related, work mainly with the Fannie Mae Uniform Residential Appraisal Report (URAR, Form 1004), Individual Condominium Appraisal Report (Form 1073), and/or the Small Residential Income Property Appraisal Report (Form 1025). While these three forms appear to be very different, they have many similarities. Each is tailored to a specific residential property type but each includes a Scope of Work, Statement of Assumptions, and Limiting Conditions. We all are so busy that it is easy to forget what is in the </w:t>
      </w:r>
      <w:r w:rsidRPr="00C10E44">
        <w:rPr>
          <w:rFonts w:ascii="Verdana" w:hAnsi="Verdana"/>
          <w:i/>
          <w:sz w:val="18"/>
          <w:szCs w:val="18"/>
        </w:rPr>
        <w:t xml:space="preserve">Certification </w:t>
      </w:r>
      <w:r w:rsidRPr="00C10E44">
        <w:rPr>
          <w:rFonts w:ascii="Verdana" w:hAnsi="Verdana"/>
          <w:sz w:val="18"/>
          <w:szCs w:val="18"/>
        </w:rPr>
        <w:t xml:space="preserve">that we sign with each report. As such, it is a good practice to read the pre-printed certification and limiting conditions pages occasionally. This is because each time we sign our report we are confirming that we have completed the items listed on those pages.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b/>
          <w:sz w:val="18"/>
          <w:szCs w:val="18"/>
        </w:rPr>
        <w:t xml:space="preserve">Analyze This </w:t>
      </w:r>
      <w:r w:rsidRPr="00C10E44">
        <w:rPr>
          <w:rFonts w:ascii="Verdana" w:hAnsi="Verdana"/>
          <w:b/>
          <w:sz w:val="18"/>
          <w:szCs w:val="18"/>
        </w:rPr>
        <w:br/>
      </w:r>
      <w:r w:rsidRPr="00C10E44">
        <w:rPr>
          <w:rFonts w:ascii="Verdana" w:hAnsi="Verdana"/>
          <w:sz w:val="18"/>
          <w:szCs w:val="18"/>
        </w:rPr>
        <w:t xml:space="preserve">There are pressures that appraisers face daily, including time pressure, ever-growing engagement letters that require all kinds of additional details and information, and the constant battle for reasonable fees. Many of us have developed language and statements that help us save time in writing appraisal reports. One thing that boilerplate and drop-down menu statements cannot help us with is data analysis. This is one timesaving corner we cannot cut.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As much as we would like to think that presenting the facts about a sale is analyzing data, it is not.  Analysis is more than a statement that a property sold on such and such a date, for such and such a price. The analysis includes how that sale was positioned in the market at the time of transfer or sale. Was the sale at arm’s length? Was it an REO sale in need of a total overhaul? Was the sale under duress because of some need to sell? Was it one family member selling to another? We need to address why it sold for what it did in relation to what the </w:t>
      </w:r>
      <w:r w:rsidRPr="00C10E44">
        <w:rPr>
          <w:rFonts w:ascii="Verdana" w:hAnsi="Verdana"/>
          <w:sz w:val="18"/>
          <w:szCs w:val="18"/>
        </w:rPr>
        <w:lastRenderedPageBreak/>
        <w:t xml:space="preserve">current appraised or final sales price is. We must analyze the prior sale as well as the current contract, if applicable, and explain and report the results of the analysis or explain why it was not performed.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As markets are rarely static, we need to analyze the current market and any changes to the market since the prior sale. This analysis of the market, and how it has fluctuated, is a basis for part of the analysis of the prior sale in comparison to the current market value. Because of the requirement by the GSEs to use the Market Research and Analysis Form (1004MC), sometimes there are inadequate data within the report to support a trend which might otherwise help paint a picture of an increase (or decline). When there is inadequate data to adequately complete this form, there is nothing stating we cannot include additional information outside of the MC form. </w:t>
      </w:r>
    </w:p>
    <w:p w:rsidR="00C10E44" w:rsidRPr="00C10E44" w:rsidRDefault="00C10E44" w:rsidP="00C10E44">
      <w:pPr>
        <w:rPr>
          <w:rFonts w:ascii="Verdana" w:hAnsi="Verdana"/>
          <w:sz w:val="18"/>
          <w:szCs w:val="18"/>
        </w:rPr>
      </w:pPr>
    </w:p>
    <w:p w:rsidR="00C10E44" w:rsidRPr="00C10E44" w:rsidRDefault="00C10E44" w:rsidP="00C10E44">
      <w:pPr>
        <w:rPr>
          <w:rFonts w:ascii="Verdana" w:hAnsi="Verdana"/>
          <w:sz w:val="18"/>
          <w:szCs w:val="18"/>
        </w:rPr>
      </w:pPr>
      <w:r w:rsidRPr="00C10E44">
        <w:rPr>
          <w:rFonts w:ascii="Verdana" w:hAnsi="Verdana"/>
          <w:sz w:val="18"/>
          <w:szCs w:val="18"/>
        </w:rPr>
        <w:t>Often, those who look to find fault with an appraisal turn to this section first, because sometimes appraisers do not analyze the data presented in the 1004MC. Boxes may be checked, boilerplate statements may be added, but the data analysis is not summarized. The appraiser knows the market and knows what is occurring, but did not add a summation of the analysis or trends that may be reflected in the data. Are foreclosures and short sales an issue in the market?  Appraisers may click the box “yes” yet not report the impact of those foreclosures and short sales in the subject’s market. When analyzing the market conditions, analysis is not a “should” but a “must.” As appraisers, we are often so busy and it may seem so self-evident, but six months or a year down the line it may be very difficult to remember precisely what was happening in the market at the time. This extra bit of communication of what we observed in the market at the time can be very helpful, not only to our clients, but to ourselves in the event of a challenge to our work, months or even years down the line.</w:t>
      </w:r>
    </w:p>
    <w:p w:rsidR="00C10E44" w:rsidRPr="00C10E44" w:rsidRDefault="00C10E44" w:rsidP="00C10E44">
      <w:pPr>
        <w:rPr>
          <w:rFonts w:ascii="Verdana" w:hAnsi="Verdana"/>
          <w:sz w:val="18"/>
          <w:szCs w:val="18"/>
        </w:rPr>
      </w:pPr>
    </w:p>
    <w:p w:rsidR="00C10E44" w:rsidRPr="00C10E44" w:rsidRDefault="00C10E44" w:rsidP="00C10E44">
      <w:pPr>
        <w:rPr>
          <w:rFonts w:ascii="Verdana" w:hAnsi="Verdana"/>
          <w:sz w:val="18"/>
          <w:szCs w:val="18"/>
        </w:rPr>
      </w:pPr>
      <w:r w:rsidRPr="00C10E44">
        <w:rPr>
          <w:rFonts w:ascii="Verdana" w:hAnsi="Verdana"/>
          <w:sz w:val="18"/>
          <w:szCs w:val="18"/>
        </w:rPr>
        <w:t xml:space="preserve">This analysis of the market conditions is used when analyzing the prior sales of the subject, as well as all comparable sales. Currently Fannie Mae and Freddie Mac require a minimum 36-month sale and transfer history of the subject to effective </w:t>
      </w:r>
      <w:proofErr w:type="gramStart"/>
      <w:r w:rsidRPr="00C10E44">
        <w:rPr>
          <w:rFonts w:ascii="Verdana" w:hAnsi="Verdana"/>
          <w:sz w:val="18"/>
          <w:szCs w:val="18"/>
        </w:rPr>
        <w:t>date,</w:t>
      </w:r>
      <w:proofErr w:type="gramEnd"/>
      <w:r w:rsidRPr="00C10E44">
        <w:rPr>
          <w:rFonts w:ascii="Verdana" w:hAnsi="Verdana"/>
          <w:sz w:val="18"/>
          <w:szCs w:val="18"/>
        </w:rPr>
        <w:t xml:space="preserve"> and 12-months for all comparable sales since their most recent closed date. After September 14, 2015, the FHA requires 36-months for the subject and 36-months for all comparable sales.  We are starting to see more ”flipping” again as the market has improved in many parts of the country. There are often examples of houses being purchased below market because they were in need of repair and then rehabbed or renovated, and resold.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Were any of the comparable sales sold previously below market value due to their condition and lack of modernization?  Did these houses sell for a higher, similar or even lesser amount after improvement and is this consistent with the market conditions analysis?  Sometimes this cannot be determined by looking back 12 or 36-months. Perhaps the comparable prior sale sold 40-months ago, but sold at a similar time as the subject’s prior sale.  Would comparing that prior sale to its current sale further support the changing market conditions?  Would it support the information presented in the Sales Comparison Approach to value? If the prior sale was a “trashed-out” REO sale and there are photos in the MLS, consider including a few of these photos, in addition to the narrative, as they can add needed support for the change. As appraisers, we may have to go beyond the minimum time and reporting requirements to accurately analyze the prior sales in order to develop credible assignment results. </w:t>
      </w:r>
      <w:r w:rsidRPr="00C10E44">
        <w:rPr>
          <w:rFonts w:ascii="Verdana" w:hAnsi="Verdana"/>
          <w:sz w:val="18"/>
          <w:szCs w:val="18"/>
        </w:rPr>
        <w:br/>
      </w:r>
      <w:r w:rsidRPr="00C10E44">
        <w:rPr>
          <w:rFonts w:ascii="Verdana" w:hAnsi="Verdana"/>
          <w:sz w:val="18"/>
          <w:szCs w:val="18"/>
        </w:rPr>
        <w:br/>
      </w:r>
      <w:r w:rsidRPr="00C10E44">
        <w:rPr>
          <w:rFonts w:ascii="Verdana" w:hAnsi="Verdana"/>
          <w:b/>
          <w:sz w:val="18"/>
          <w:szCs w:val="18"/>
        </w:rPr>
        <w:t>Analyzing a Sale</w:t>
      </w:r>
      <w:r w:rsidRPr="00C10E44">
        <w:rPr>
          <w:rFonts w:ascii="Verdana" w:hAnsi="Verdana"/>
          <w:b/>
          <w:sz w:val="18"/>
          <w:szCs w:val="18"/>
        </w:rPr>
        <w:br/>
      </w:r>
      <w:proofErr w:type="gramStart"/>
      <w:r w:rsidRPr="00C10E44">
        <w:rPr>
          <w:rFonts w:ascii="Verdana" w:hAnsi="Verdana"/>
          <w:sz w:val="18"/>
          <w:szCs w:val="18"/>
        </w:rPr>
        <w:t>How</w:t>
      </w:r>
      <w:proofErr w:type="gramEnd"/>
      <w:r w:rsidRPr="00C10E44">
        <w:rPr>
          <w:rFonts w:ascii="Verdana" w:hAnsi="Verdana"/>
          <w:sz w:val="18"/>
          <w:szCs w:val="18"/>
        </w:rPr>
        <w:t xml:space="preserve"> does one analyze a sale?  The following is one simple example. “Comparable sale 1 sold on 01/01/2015 after being exposed to the market for 7 days.  It was bank owned, and in need of significant work, including replacement of all cabinetry, flooring, light fixtures and paint.  It also needed a new roof and furnace. The water heater was in working order and the electric had previously been upgraded. The house was listed for sale for $99,000 and sold under a bidding war for $105,000.  The purchaser of this property gutted what was remaining, replaced cabinetry, flooring, light fixtures and windows, as well as installed new siding, roof, and furnace.  The entire interior was painted and the owner had the property staged for sale.  It was offered for sale on 06/01/2015 for $225,000 and received three offers according to the listing agent. The house sold in 5-days on the market for $230,000 without concessions. The increase in price of $110,000 was partially related to the increasing market but in larger part </w:t>
      </w:r>
      <w:r w:rsidRPr="00C10E44">
        <w:rPr>
          <w:rFonts w:ascii="Verdana" w:hAnsi="Verdana"/>
          <w:sz w:val="18"/>
          <w:szCs w:val="18"/>
        </w:rPr>
        <w:lastRenderedPageBreak/>
        <w:t>due to the remodeling that took place in the interim.”</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In this example, the appraiser analyzed the prior sale, </w:t>
      </w:r>
      <w:proofErr w:type="gramStart"/>
      <w:r w:rsidRPr="00C10E44">
        <w:rPr>
          <w:rFonts w:ascii="Verdana" w:hAnsi="Verdana"/>
          <w:sz w:val="18"/>
          <w:szCs w:val="18"/>
        </w:rPr>
        <w:t>then</w:t>
      </w:r>
      <w:proofErr w:type="gramEnd"/>
      <w:r w:rsidRPr="00C10E44">
        <w:rPr>
          <w:rFonts w:ascii="Verdana" w:hAnsi="Verdana"/>
          <w:sz w:val="18"/>
          <w:szCs w:val="18"/>
        </w:rPr>
        <w:t xml:space="preserve"> reported this information in the body of their appraisal report. This sale, which would have generated many questions, did not. The appraiser communicated their analysis in writing instead of only keeping notes in the work file. There was no need for questions by the appraisal reviewer, especially since MLS photos showing the prior and current condition were included in the report.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sz w:val="18"/>
          <w:szCs w:val="18"/>
        </w:rPr>
        <w:t xml:space="preserve">The </w:t>
      </w:r>
      <w:r w:rsidRPr="00C10E44">
        <w:rPr>
          <w:rFonts w:ascii="Verdana" w:hAnsi="Verdana"/>
          <w:i/>
          <w:sz w:val="18"/>
          <w:szCs w:val="18"/>
        </w:rPr>
        <w:t>Working RE</w:t>
      </w:r>
      <w:r w:rsidRPr="00C10E44">
        <w:rPr>
          <w:rFonts w:ascii="Verdana" w:hAnsi="Verdana"/>
          <w:sz w:val="18"/>
          <w:szCs w:val="18"/>
        </w:rPr>
        <w:t xml:space="preserve"> story </w:t>
      </w:r>
      <w:r w:rsidRPr="00C10E44">
        <w:rPr>
          <w:rFonts w:ascii="Verdana" w:hAnsi="Verdana"/>
          <w:i/>
          <w:sz w:val="18"/>
          <w:szCs w:val="18"/>
        </w:rPr>
        <w:t xml:space="preserve">Supporting Market Conditions </w:t>
      </w:r>
      <w:r w:rsidRPr="00C10E44">
        <w:rPr>
          <w:rFonts w:ascii="Verdana" w:hAnsi="Verdana"/>
          <w:sz w:val="18"/>
          <w:szCs w:val="18"/>
        </w:rPr>
        <w:t>has one example of how to complete a market analysis outside of the 1004MC form. (</w:t>
      </w:r>
      <w:hyperlink r:id="rId8" w:history="1">
        <w:r w:rsidRPr="00C10E44">
          <w:rPr>
            <w:rStyle w:val="Hyperlink"/>
            <w:rFonts w:ascii="Verdana" w:hAnsi="Verdana"/>
            <w:sz w:val="18"/>
            <w:szCs w:val="18"/>
          </w:rPr>
          <w:t>http://www.workingre.com/supporting-market-conditions-adjustments/</w:t>
        </w:r>
      </w:hyperlink>
      <w:r w:rsidRPr="00C10E44">
        <w:rPr>
          <w:rFonts w:ascii="Verdana" w:hAnsi="Verdana"/>
          <w:sz w:val="18"/>
          <w:szCs w:val="18"/>
          <w:u w:val="single"/>
        </w:rPr>
        <w:t>)</w:t>
      </w:r>
      <w:r w:rsidRPr="00C10E44">
        <w:rPr>
          <w:rFonts w:ascii="Verdana" w:hAnsi="Verdana"/>
          <w:sz w:val="18"/>
          <w:szCs w:val="18"/>
        </w:rPr>
        <w:t xml:space="preserve">. In short, if there are insufficient data points to provide any type of robust market analysis, include additional information supporting the position of how the market is changing or has changed, before the effective date of the report. Let the client know what has happened in the market since the prior sale of the subject as well as what has happened to the subject itself. Part of our jobs as appraisers is to help clients understand the market. </w:t>
      </w:r>
      <w:r w:rsidRPr="00C10E44">
        <w:rPr>
          <w:rFonts w:ascii="Verdana" w:hAnsi="Verdana"/>
          <w:sz w:val="18"/>
          <w:szCs w:val="18"/>
        </w:rPr>
        <w:br/>
      </w:r>
    </w:p>
    <w:p w:rsidR="00C10E44" w:rsidRPr="00C10E44" w:rsidRDefault="00C10E44" w:rsidP="00C10E44">
      <w:pPr>
        <w:rPr>
          <w:rFonts w:ascii="Verdana" w:hAnsi="Verdana"/>
          <w:sz w:val="18"/>
          <w:szCs w:val="18"/>
        </w:rPr>
      </w:pPr>
      <w:r w:rsidRPr="00C10E44">
        <w:rPr>
          <w:rFonts w:ascii="Verdana" w:hAnsi="Verdana"/>
          <w:b/>
          <w:sz w:val="18"/>
          <w:szCs w:val="18"/>
        </w:rPr>
        <w:t>Should Do to Must Do</w:t>
      </w:r>
      <w:r w:rsidRPr="00C10E44">
        <w:rPr>
          <w:rFonts w:ascii="Verdana" w:hAnsi="Verdana"/>
          <w:b/>
          <w:sz w:val="18"/>
          <w:szCs w:val="18"/>
        </w:rPr>
        <w:br/>
      </w:r>
      <w:proofErr w:type="gramStart"/>
      <w:r w:rsidRPr="00C10E44">
        <w:rPr>
          <w:rFonts w:ascii="Verdana" w:hAnsi="Verdana"/>
          <w:sz w:val="18"/>
          <w:szCs w:val="18"/>
        </w:rPr>
        <w:t>The</w:t>
      </w:r>
      <w:proofErr w:type="gramEnd"/>
      <w:r w:rsidRPr="00C10E44">
        <w:rPr>
          <w:rFonts w:ascii="Verdana" w:hAnsi="Verdana"/>
          <w:sz w:val="18"/>
          <w:szCs w:val="18"/>
        </w:rPr>
        <w:t xml:space="preserve"> appraiser’s job has changed dramatically in the past 10 years. We are under increased scrutiny by all parties in the mortgage industry as well as state regulators, attorneys and borrowers. Those of us still in the industry are paying for the sins of individuals who were part of various financial crimes, some even appraisers. Many of those who were guilty of these sins were not appraisers, yet many in the industry, the media, and the public insist on pointing the finger at us. </w:t>
      </w:r>
      <w:bookmarkStart w:id="0" w:name="_GoBack"/>
      <w:bookmarkEnd w:id="0"/>
      <w:r w:rsidRPr="00C10E44">
        <w:rPr>
          <w:rFonts w:ascii="Verdana" w:hAnsi="Verdana"/>
          <w:sz w:val="18"/>
          <w:szCs w:val="18"/>
        </w:rPr>
        <w:t>Some of the bad apples left the industry, by their own choice or through the encouragement of their state appraisal licensing boards. Because of this, what once was a “should,” has turned into a “must.”  It is important to observe what is at the property and what is happening in the market, analyze that information, and provide at least a short summary of our analysis. Because of the massive amounts of information we are required to know and the constant changes that we see in the industry, sometimes we know much but don’t report enough. Sometimes we have to show our work. By showing our work and including our data analysis, objections and challenges of our reports will be a thing of the past. This is particularly the case related to prior sales of the subject property and the comparable sales included within the report.</w:t>
      </w:r>
    </w:p>
    <w:p w:rsidR="009B05BE" w:rsidRDefault="008E358A" w:rsidP="00C10E44">
      <w:pPr>
        <w:rPr>
          <w:rStyle w:val="Strong"/>
          <w:rFonts w:ascii="Verdana" w:hAnsi="Verdana"/>
          <w:color w:val="1C1C61"/>
          <w:sz w:val="18"/>
          <w:szCs w:val="18"/>
        </w:rPr>
      </w:pPr>
      <w:r>
        <w:rPr>
          <w:rFonts w:ascii="Verdana" w:hAnsi="Verdana" w:cs="Arial"/>
          <w:b/>
          <w:bCs/>
          <w:color w:val="FF0000"/>
          <w:sz w:val="18"/>
          <w:szCs w:val="18"/>
          <w:bdr w:val="none" w:sz="0" w:space="0" w:color="auto" w:frame="1"/>
        </w:rPr>
        <w:br/>
      </w:r>
      <w:r>
        <w:rPr>
          <w:rFonts w:ascii="Verdana" w:hAnsi="Verdana" w:cs="Arial"/>
          <w:b/>
          <w:bCs/>
          <w:color w:val="FF0000"/>
          <w:sz w:val="18"/>
          <w:szCs w:val="18"/>
          <w:bdr w:val="none" w:sz="0" w:space="0" w:color="auto" w:frame="1"/>
        </w:rPr>
        <w:br/>
      </w:r>
      <w:hyperlink r:id="rId9" w:history="1">
        <w:r>
          <w:rPr>
            <w:rStyle w:val="Strong"/>
            <w:rFonts w:ascii="Verdana" w:hAnsi="Verdana"/>
            <w:color w:val="000000"/>
            <w:sz w:val="18"/>
            <w:szCs w:val="18"/>
          </w:rPr>
          <w:t>Fall Webinar Schedule</w:t>
        </w:r>
        <w:r>
          <w:rPr>
            <w:rFonts w:ascii="Verdana" w:hAnsi="Verdana"/>
            <w:b/>
            <w:bCs/>
            <w:color w:val="000000"/>
            <w:sz w:val="18"/>
            <w:szCs w:val="18"/>
          </w:rPr>
          <w:br/>
        </w:r>
        <w:r>
          <w:rPr>
            <w:rStyle w:val="Strong"/>
            <w:rFonts w:ascii="Verdana" w:hAnsi="Verdana"/>
            <w:color w:val="000000"/>
            <w:sz w:val="18"/>
            <w:szCs w:val="18"/>
          </w:rPr>
          <w:t>September:</w:t>
        </w:r>
        <w:r>
          <w:rPr>
            <w:rStyle w:val="Strong"/>
            <w:b w:val="0"/>
            <w:bCs w:val="0"/>
            <w:color w:val="000000"/>
            <w:sz w:val="22"/>
            <w:szCs w:val="22"/>
          </w:rPr>
          <w:t xml:space="preserve"> </w:t>
        </w:r>
      </w:hyperlink>
      <w:hyperlink r:id="rId10" w:history="1">
        <w:r>
          <w:rPr>
            <w:rStyle w:val="Hyperlink"/>
            <w:rFonts w:ascii="Verdana" w:hAnsi="Verdana"/>
            <w:sz w:val="18"/>
            <w:szCs w:val="18"/>
          </w:rPr>
          <w:t>How to Create a Proper Reconciliation</w:t>
        </w:r>
      </w:hyperlink>
      <w:r>
        <w:rPr>
          <w:rStyle w:val="Strong"/>
          <w:rFonts w:ascii="Verdana" w:hAnsi="Verdana"/>
          <w:b w:val="0"/>
          <w:bCs w:val="0"/>
          <w:color w:val="000000"/>
          <w:sz w:val="18"/>
          <w:szCs w:val="18"/>
        </w:rPr>
        <w:t xml:space="preserve"> </w:t>
      </w:r>
      <w:r>
        <w:rPr>
          <w:rStyle w:val="auto-style1721"/>
          <w:rFonts w:ascii="Verdana" w:hAnsi="Verdana"/>
          <w:color w:val="000000"/>
          <w:sz w:val="18"/>
          <w:szCs w:val="18"/>
        </w:rPr>
        <w:t>- Tim Andersen (Available Now)</w:t>
      </w:r>
      <w:r>
        <w:rPr>
          <w:rFonts w:ascii="Verdana" w:hAnsi="Verdana"/>
          <w:b/>
          <w:bCs/>
          <w:color w:val="000000"/>
          <w:sz w:val="18"/>
          <w:szCs w:val="18"/>
        </w:rPr>
        <w:br/>
      </w:r>
      <w:r>
        <w:rPr>
          <w:rStyle w:val="Strong"/>
          <w:rFonts w:ascii="Verdana" w:hAnsi="Verdana"/>
          <w:color w:val="000000"/>
          <w:sz w:val="18"/>
          <w:szCs w:val="18"/>
        </w:rPr>
        <w:t xml:space="preserve">September: </w:t>
      </w:r>
      <w:hyperlink r:id="rId11" w:history="1">
        <w:r>
          <w:rPr>
            <w:rStyle w:val="Hyperlink"/>
            <w:rFonts w:ascii="Verdana" w:hAnsi="Verdana"/>
            <w:sz w:val="18"/>
            <w:szCs w:val="18"/>
          </w:rPr>
          <w:t>Claims, Complaints, and E&amp;O Insurance</w:t>
        </w:r>
      </w:hyperlink>
      <w:r>
        <w:rPr>
          <w:rStyle w:val="Strong"/>
          <w:rFonts w:ascii="Verdana" w:hAnsi="Verdana"/>
          <w:color w:val="000000"/>
          <w:sz w:val="18"/>
          <w:szCs w:val="18"/>
        </w:rPr>
        <w:t xml:space="preserve"> </w:t>
      </w:r>
      <w:r>
        <w:rPr>
          <w:rFonts w:ascii="Verdana" w:hAnsi="Verdana"/>
          <w:color w:val="000000"/>
          <w:sz w:val="18"/>
          <w:szCs w:val="18"/>
        </w:rPr>
        <w:t xml:space="preserve">- </w:t>
      </w:r>
      <w:r>
        <w:rPr>
          <w:rFonts w:ascii="Verdana" w:hAnsi="Verdana"/>
          <w:color w:val="FF0000"/>
          <w:sz w:val="18"/>
          <w:szCs w:val="18"/>
        </w:rPr>
        <w:t>(free)</w:t>
      </w:r>
      <w:r>
        <w:rPr>
          <w:rFonts w:ascii="Verdana" w:hAnsi="Verdana"/>
          <w:color w:val="1C1C61"/>
          <w:sz w:val="18"/>
          <w:szCs w:val="18"/>
        </w:rPr>
        <w:t xml:space="preserve"> David Brauner</w:t>
      </w:r>
      <w:r>
        <w:rPr>
          <w:rFonts w:ascii="Verdana" w:hAnsi="Verdana"/>
          <w:b/>
          <w:bCs/>
          <w:color w:val="1C1C61"/>
          <w:sz w:val="18"/>
          <w:szCs w:val="18"/>
        </w:rPr>
        <w:br/>
      </w:r>
      <w:r>
        <w:rPr>
          <w:rStyle w:val="Strong"/>
          <w:rFonts w:ascii="Verdana" w:hAnsi="Verdana"/>
          <w:color w:val="000000"/>
          <w:sz w:val="18"/>
          <w:szCs w:val="18"/>
        </w:rPr>
        <w:t>October:</w:t>
      </w:r>
      <w:r>
        <w:rPr>
          <w:rStyle w:val="Strong"/>
          <w:rFonts w:ascii="Verdana" w:hAnsi="Verdana"/>
          <w:color w:val="1C1C61"/>
          <w:sz w:val="18"/>
          <w:szCs w:val="18"/>
        </w:rPr>
        <w:t xml:space="preserve"> </w:t>
      </w:r>
      <w:hyperlink r:id="rId12" w:history="1">
        <w:r>
          <w:rPr>
            <w:rStyle w:val="Hyperlink"/>
            <w:rFonts w:ascii="Verdana" w:hAnsi="Verdana"/>
            <w:sz w:val="18"/>
            <w:szCs w:val="18"/>
          </w:rPr>
          <w:t>Fannie Mae and Q&amp;C Ratings</w:t>
        </w:r>
      </w:hyperlink>
      <w:r>
        <w:rPr>
          <w:rStyle w:val="Strong"/>
          <w:rFonts w:ascii="Verdana" w:hAnsi="Verdana"/>
          <w:color w:val="1C1C61"/>
          <w:sz w:val="18"/>
          <w:szCs w:val="18"/>
        </w:rPr>
        <w:t xml:space="preserve"> </w:t>
      </w:r>
      <w:r>
        <w:rPr>
          <w:rFonts w:ascii="Verdana" w:hAnsi="Verdana"/>
          <w:color w:val="1C1C61"/>
          <w:sz w:val="18"/>
          <w:szCs w:val="18"/>
        </w:rPr>
        <w:t>- Richard Hagar, SRA (2 parts)</w:t>
      </w:r>
      <w:r>
        <w:rPr>
          <w:rFonts w:ascii="Verdana" w:hAnsi="Verdana"/>
          <w:b/>
          <w:bCs/>
          <w:color w:val="1C1C61"/>
          <w:sz w:val="18"/>
          <w:szCs w:val="18"/>
        </w:rPr>
        <w:br/>
      </w:r>
      <w:r>
        <w:rPr>
          <w:rStyle w:val="Strong"/>
          <w:rFonts w:ascii="Verdana" w:hAnsi="Verdana"/>
          <w:color w:val="000000"/>
          <w:sz w:val="18"/>
          <w:szCs w:val="18"/>
        </w:rPr>
        <w:t>November:</w:t>
      </w:r>
      <w:r>
        <w:rPr>
          <w:rStyle w:val="Strong"/>
          <w:rFonts w:ascii="Verdana" w:hAnsi="Verdana"/>
          <w:color w:val="1C1C61"/>
          <w:sz w:val="18"/>
          <w:szCs w:val="18"/>
        </w:rPr>
        <w:t xml:space="preserve"> </w:t>
      </w:r>
      <w:hyperlink r:id="rId13" w:history="1">
        <w:r>
          <w:rPr>
            <w:rStyle w:val="Hyperlink"/>
            <w:rFonts w:ascii="Verdana" w:hAnsi="Verdana"/>
            <w:sz w:val="18"/>
            <w:szCs w:val="18"/>
          </w:rPr>
          <w:t xml:space="preserve">Appraisal Adjustments - Solving Common Problems </w:t>
        </w:r>
      </w:hyperlink>
      <w:r>
        <w:rPr>
          <w:rFonts w:ascii="Verdana" w:hAnsi="Verdana"/>
          <w:color w:val="1C1C61"/>
          <w:sz w:val="18"/>
          <w:szCs w:val="18"/>
        </w:rPr>
        <w:t>- Richard Hagar, SRA (2 parts)</w:t>
      </w:r>
      <w:r>
        <w:rPr>
          <w:rFonts w:ascii="Verdana" w:hAnsi="Verdana"/>
          <w:b/>
          <w:bCs/>
          <w:color w:val="1C1C61"/>
          <w:sz w:val="18"/>
          <w:szCs w:val="18"/>
        </w:rPr>
        <w:br/>
      </w:r>
      <w:hyperlink r:id="rId14" w:history="1">
        <w:r>
          <w:rPr>
            <w:rStyle w:val="Hyperlink"/>
            <w:rFonts w:ascii="Verdana" w:hAnsi="Verdana"/>
            <w:b/>
            <w:bCs/>
            <w:sz w:val="18"/>
            <w:szCs w:val="18"/>
          </w:rPr>
          <w:t>Season Ticket:</w:t>
        </w:r>
      </w:hyperlink>
      <w:r>
        <w:rPr>
          <w:rStyle w:val="Strong"/>
          <w:rFonts w:ascii="Verdana" w:hAnsi="Verdana"/>
          <w:color w:val="1C1C61"/>
          <w:sz w:val="18"/>
          <w:szCs w:val="18"/>
        </w:rPr>
        <w:t xml:space="preserve"> $129 </w:t>
      </w:r>
      <w:r>
        <w:rPr>
          <w:rFonts w:ascii="Verdana" w:hAnsi="Verdana"/>
          <w:color w:val="1C1C61"/>
          <w:sz w:val="18"/>
          <w:szCs w:val="18"/>
        </w:rPr>
        <w:t>(Save 35% on all six webinars)</w:t>
      </w:r>
      <w:r>
        <w:rPr>
          <w:rFonts w:ascii="Verdana" w:hAnsi="Verdana"/>
          <w:color w:val="1C1C61"/>
          <w:sz w:val="18"/>
          <w:szCs w:val="18"/>
        </w:rPr>
        <w:br/>
      </w:r>
      <w:r>
        <w:rPr>
          <w:rFonts w:ascii="Verdana" w:hAnsi="Verdana"/>
          <w:color w:val="1C1C61"/>
          <w:sz w:val="18"/>
          <w:szCs w:val="18"/>
        </w:rPr>
        <w:br/>
      </w:r>
      <w:r>
        <w:rPr>
          <w:rStyle w:val="Strong"/>
          <w:rFonts w:ascii="Verdana" w:hAnsi="Verdana"/>
          <w:color w:val="FF0000"/>
          <w:sz w:val="18"/>
          <w:szCs w:val="18"/>
        </w:rPr>
        <w:t>Save $78:</w:t>
      </w:r>
      <w:r>
        <w:rPr>
          <w:rFonts w:ascii="Verdana" w:hAnsi="Verdana"/>
          <w:color w:val="1C1C61"/>
          <w:sz w:val="18"/>
          <w:szCs w:val="18"/>
        </w:rPr>
        <w:t xml:space="preserve"> </w:t>
      </w:r>
      <w:hyperlink r:id="rId15" w:history="1">
        <w:r>
          <w:rPr>
            <w:rStyle w:val="Hyperlink"/>
            <w:rFonts w:ascii="Verdana" w:hAnsi="Verdana"/>
            <w:b/>
            <w:bCs/>
            <w:sz w:val="18"/>
            <w:szCs w:val="18"/>
          </w:rPr>
          <w:t>Get the Season Ticket</w:t>
        </w:r>
      </w:hyperlink>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Style w:val="Strong"/>
          <w:rFonts w:ascii="Verdana" w:hAnsi="Verdana"/>
          <w:color w:val="1C1C61"/>
          <w:sz w:val="18"/>
          <w:szCs w:val="18"/>
        </w:rPr>
      </w:pPr>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drawing>
          <wp:inline distT="0" distB="0" distL="0" distR="0">
            <wp:extent cx="4373880" cy="2855595"/>
            <wp:effectExtent l="0" t="0" r="7620" b="1905"/>
            <wp:docPr id="2" name="Picture 2" descr="http://orep.org/wp-content/uploads/2015/09/orep-ad-appraisers_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rep.org/wp-content/uploads/2015/09/orep-ad-appraisers_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3880" cy="2855595"/>
                    </a:xfrm>
                    <a:prstGeom prst="rect">
                      <a:avLst/>
                    </a:prstGeom>
                    <a:noFill/>
                    <a:ln>
                      <a:noFill/>
                    </a:ln>
                  </pic:spPr>
                </pic:pic>
              </a:graphicData>
            </a:graphic>
          </wp:inline>
        </w:drawing>
      </w:r>
      <w:r>
        <w:rPr>
          <w:rFonts w:ascii="Verdana" w:hAnsi="Verdana" w:cs="Arial"/>
          <w:color w:val="2C2E2E"/>
          <w:sz w:val="18"/>
          <w:szCs w:val="18"/>
        </w:rPr>
        <w:br/>
      </w:r>
      <w:hyperlink r:id="rId18" w:history="1">
        <w:r w:rsidRPr="00D601CF">
          <w:rPr>
            <w:rStyle w:val="Hyperlink"/>
            <w:rFonts w:ascii="Verdana" w:hAnsi="Verdana" w:cs="Arial"/>
            <w:sz w:val="18"/>
            <w:szCs w:val="18"/>
          </w:rPr>
          <w:t>http://orep.org/appraisers-eo-insurance/</w:t>
        </w:r>
      </w:hyperlink>
    </w:p>
    <w:p w:rsidR="0017657A" w:rsidRDefault="0017657A" w:rsidP="008E358A">
      <w:pPr>
        <w:pStyle w:val="NormalWeb"/>
        <w:spacing w:before="0" w:beforeAutospacing="0" w:after="225" w:afterAutospacing="0" w:line="300" w:lineRule="atLeast"/>
        <w:rPr>
          <w:rFonts w:ascii="Verdana" w:hAnsi="Verdana" w:cs="Arial"/>
          <w:color w:val="2C2E2E"/>
          <w:sz w:val="18"/>
          <w:szCs w:val="18"/>
        </w:rPr>
      </w:pPr>
      <w:r>
        <w:rPr>
          <w:rFonts w:ascii="Verdana" w:hAnsi="Verdana"/>
          <w:i/>
          <w:iCs/>
          <w:noProof/>
          <w:color w:val="000080"/>
          <w:sz w:val="16"/>
          <w:szCs w:val="16"/>
        </w:rPr>
        <w:lastRenderedPageBreak/>
        <w:drawing>
          <wp:inline distT="0" distB="0" distL="0" distR="0">
            <wp:extent cx="4563110" cy="2933065"/>
            <wp:effectExtent l="0" t="0" r="8890" b="635"/>
            <wp:docPr id="3" name="Picture 3" descr="http://www.workingre.com/wp-content/uploads/2015/07/Adjustment-Webinar-final.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5/07/Adjustment-Webinar-final.png">
                      <a:hlinkClick r:id="rId13"/>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3110" cy="2933065"/>
                    </a:xfrm>
                    <a:prstGeom prst="rect">
                      <a:avLst/>
                    </a:prstGeom>
                    <a:noFill/>
                    <a:ln>
                      <a:noFill/>
                    </a:ln>
                  </pic:spPr>
                </pic:pic>
              </a:graphicData>
            </a:graphic>
          </wp:inline>
        </w:drawing>
      </w:r>
      <w:r>
        <w:rPr>
          <w:rFonts w:ascii="Verdana" w:hAnsi="Verdana" w:cs="Arial"/>
          <w:color w:val="2C2E2E"/>
          <w:sz w:val="18"/>
          <w:szCs w:val="18"/>
        </w:rPr>
        <w:br/>
      </w:r>
      <w:hyperlink r:id="rId20" w:history="1">
        <w:r w:rsidRPr="00D601CF">
          <w:rPr>
            <w:rStyle w:val="Hyperlink"/>
            <w:rFonts w:ascii="Verdana" w:hAnsi="Verdana" w:cs="Arial"/>
            <w:sz w:val="18"/>
            <w:szCs w:val="18"/>
          </w:rPr>
          <w:t>http://www.workingre.com/appraisal-adjustments-solving-common-problems/</w:t>
        </w:r>
      </w:hyperlink>
    </w:p>
    <w:p w:rsidR="0017657A"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380615" cy="5710555"/>
            <wp:effectExtent l="0" t="0" r="635" b="4445"/>
            <wp:docPr id="4" name="Picture 4" descr="http://orep.org/wp-content/uploads/2015/01/FHA-Ad-20151.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rep.org/wp-content/uploads/2015/01/FHA-Ad-20151.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0615" cy="5710555"/>
                    </a:xfrm>
                    <a:prstGeom prst="rect">
                      <a:avLst/>
                    </a:prstGeom>
                    <a:noFill/>
                    <a:ln>
                      <a:noFill/>
                    </a:ln>
                  </pic:spPr>
                </pic:pic>
              </a:graphicData>
            </a:graphic>
          </wp:inline>
        </w:drawing>
      </w:r>
      <w:r>
        <w:rPr>
          <w:rFonts w:ascii="Verdana" w:hAnsi="Verdana" w:cs="Arial"/>
          <w:color w:val="2C2E2E"/>
          <w:sz w:val="18"/>
          <w:szCs w:val="18"/>
        </w:rPr>
        <w:br/>
      </w:r>
      <w:hyperlink r:id="rId23" w:history="1">
        <w:r w:rsidRPr="00D601CF">
          <w:rPr>
            <w:rStyle w:val="Hyperlink"/>
            <w:rFonts w:ascii="Verdana" w:hAnsi="Verdana" w:cs="Arial"/>
            <w:sz w:val="18"/>
            <w:szCs w:val="18"/>
          </w:rPr>
          <w:t>http://www.workingre.com/fha-checklist-and-ebook/</w:t>
        </w:r>
      </w:hyperlink>
    </w:p>
    <w:p w:rsidR="00A312D7" w:rsidRDefault="00A312D7" w:rsidP="008E358A">
      <w:pPr>
        <w:pStyle w:val="NormalWeb"/>
        <w:spacing w:before="0" w:beforeAutospacing="0" w:after="225" w:afterAutospacing="0" w:line="300" w:lineRule="atLeast"/>
        <w:rPr>
          <w:rFonts w:ascii="Verdana" w:hAnsi="Verdana" w:cs="Arial"/>
          <w:color w:val="2C2E2E"/>
          <w:sz w:val="18"/>
          <w:szCs w:val="18"/>
        </w:rPr>
      </w:pPr>
      <w:r>
        <w:rPr>
          <w:noProof/>
          <w:color w:val="000080"/>
        </w:rPr>
        <w:lastRenderedPageBreak/>
        <w:drawing>
          <wp:inline distT="0" distB="0" distL="0" distR="0">
            <wp:extent cx="2475865" cy="5710555"/>
            <wp:effectExtent l="0" t="0" r="635" b="4445"/>
            <wp:docPr id="5" name="Picture 5" descr="http://www.workingre.com/wp-content/uploads/2015/02/2-2-15-AMC-A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5/02/2-2-15-AMC-Ad.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5865" cy="5710555"/>
                    </a:xfrm>
                    <a:prstGeom prst="rect">
                      <a:avLst/>
                    </a:prstGeom>
                    <a:noFill/>
                    <a:ln>
                      <a:noFill/>
                    </a:ln>
                  </pic:spPr>
                </pic:pic>
              </a:graphicData>
            </a:graphic>
          </wp:inline>
        </w:drawing>
      </w:r>
      <w:r>
        <w:rPr>
          <w:rFonts w:ascii="Verdana" w:hAnsi="Verdana" w:cs="Arial"/>
          <w:color w:val="2C2E2E"/>
          <w:sz w:val="18"/>
          <w:szCs w:val="18"/>
        </w:rPr>
        <w:br/>
      </w:r>
      <w:hyperlink r:id="rId26" w:history="1">
        <w:r w:rsidR="00212664" w:rsidRPr="00D601CF">
          <w:rPr>
            <w:rStyle w:val="Hyperlink"/>
            <w:rFonts w:ascii="Verdana" w:hAnsi="Verdana" w:cs="Arial"/>
            <w:sz w:val="18"/>
            <w:szCs w:val="18"/>
          </w:rPr>
          <w:t>http://www.workingre.com/amc-resource-guide/</w:t>
        </w:r>
      </w:hyperlink>
    </w:p>
    <w:p w:rsidR="00212664" w:rsidRPr="008E358A" w:rsidRDefault="00212664" w:rsidP="008E358A">
      <w:pPr>
        <w:pStyle w:val="NormalWeb"/>
        <w:spacing w:before="0" w:beforeAutospacing="0" w:after="225" w:afterAutospacing="0" w:line="300" w:lineRule="atLeast"/>
        <w:rPr>
          <w:rFonts w:ascii="Verdana" w:hAnsi="Verdana" w:cs="Arial"/>
          <w:color w:val="2C2E2E"/>
          <w:sz w:val="18"/>
          <w:szCs w:val="18"/>
        </w:rPr>
      </w:pPr>
    </w:p>
    <w:sectPr w:rsidR="00212664" w:rsidRPr="008E358A"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ianText-Chimpanzee">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6">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24901"/>
    <w:rsid w:val="00027619"/>
    <w:rsid w:val="00034120"/>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B0715"/>
    <w:rsid w:val="003C2A7A"/>
    <w:rsid w:val="003C32ED"/>
    <w:rsid w:val="003D7860"/>
    <w:rsid w:val="003E445B"/>
    <w:rsid w:val="003E4D13"/>
    <w:rsid w:val="004019D4"/>
    <w:rsid w:val="00403906"/>
    <w:rsid w:val="004058DB"/>
    <w:rsid w:val="00414420"/>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B2890"/>
    <w:rsid w:val="005C05E0"/>
    <w:rsid w:val="005C618F"/>
    <w:rsid w:val="005C7FDE"/>
    <w:rsid w:val="005E46B9"/>
    <w:rsid w:val="005E5025"/>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559CF"/>
    <w:rsid w:val="0077195E"/>
    <w:rsid w:val="00782667"/>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86D14"/>
    <w:rsid w:val="00A914B8"/>
    <w:rsid w:val="00AA6052"/>
    <w:rsid w:val="00AB4802"/>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7992"/>
    <w:rsid w:val="00B840CB"/>
    <w:rsid w:val="00B84A20"/>
    <w:rsid w:val="00B93E89"/>
    <w:rsid w:val="00B96F3E"/>
    <w:rsid w:val="00BA2C70"/>
    <w:rsid w:val="00BA5FCA"/>
    <w:rsid w:val="00BB3790"/>
    <w:rsid w:val="00BB3C0B"/>
    <w:rsid w:val="00BB50BA"/>
    <w:rsid w:val="00BB55F6"/>
    <w:rsid w:val="00BC15C6"/>
    <w:rsid w:val="00C03E56"/>
    <w:rsid w:val="00C03FAE"/>
    <w:rsid w:val="00C10E44"/>
    <w:rsid w:val="00C21F33"/>
    <w:rsid w:val="00C277F1"/>
    <w:rsid w:val="00C42D70"/>
    <w:rsid w:val="00C510B9"/>
    <w:rsid w:val="00C52C42"/>
    <w:rsid w:val="00C53378"/>
    <w:rsid w:val="00C56D95"/>
    <w:rsid w:val="00C67D62"/>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667B"/>
    <w:rsid w:val="00DF4ED7"/>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945E2"/>
    <w:rsid w:val="00F946DB"/>
    <w:rsid w:val="00F9492B"/>
    <w:rsid w:val="00FA1406"/>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supporting-market-conditions-adjustments/" TargetMode="External"/><Relationship Id="rId13" Type="http://schemas.openxmlformats.org/officeDocument/2006/relationships/hyperlink" Target="http://www.workingre.com/appraisal-adjustments-solving-common-problems/" TargetMode="External"/><Relationship Id="rId18" Type="http://schemas.openxmlformats.org/officeDocument/2006/relationships/hyperlink" Target="http://orep.org/appraisers-eo-insurance/" TargetMode="External"/><Relationship Id="rId26" Type="http://schemas.openxmlformats.org/officeDocument/2006/relationships/hyperlink" Target="http://www.workingre.com/amc-resource-guide/" TargetMode="External"/><Relationship Id="rId3" Type="http://schemas.microsoft.com/office/2007/relationships/stylesWithEffects" Target="stylesWithEffects.xml"/><Relationship Id="rId21" Type="http://schemas.openxmlformats.org/officeDocument/2006/relationships/hyperlink" Target="http://www.workingre.com/fha-checklist-and-ebook/" TargetMode="External"/><Relationship Id="rId7" Type="http://schemas.openxmlformats.org/officeDocument/2006/relationships/image" Target="media/image1.jpeg"/><Relationship Id="rId12" Type="http://schemas.openxmlformats.org/officeDocument/2006/relationships/hyperlink" Target="http://www.workingre.com/professional-appraiser-series/" TargetMode="External"/><Relationship Id="rId17" Type="http://schemas.openxmlformats.org/officeDocument/2006/relationships/image" Target="media/image2.jpe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orep.org/appraisers-eo-insurance/" TargetMode="External"/><Relationship Id="rId20" Type="http://schemas.openxmlformats.org/officeDocument/2006/relationships/hyperlink" Target="http://www.workingre.com/appraisal-adjustments-solving-common-problems/" TargetMode="Externa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insurance-liability-town-hall-complaints-claims-and-your-teflon-suit-free/" TargetMode="External"/><Relationship Id="rId24" Type="http://schemas.openxmlformats.org/officeDocument/2006/relationships/hyperlink" Target="http://www.workingre.com/amc-resource-guide/" TargetMode="External"/><Relationship Id="rId5" Type="http://schemas.openxmlformats.org/officeDocument/2006/relationships/webSettings" Target="webSettings.xml"/><Relationship Id="rId15" Type="http://schemas.openxmlformats.org/officeDocument/2006/relationships/hyperlink" Target="http://www.workingre.com/fall-webinar-series-payment-page/" TargetMode="External"/><Relationship Id="rId23" Type="http://schemas.openxmlformats.org/officeDocument/2006/relationships/hyperlink" Target="http://www.workingre.com/fha-checklist-and-ebook/" TargetMode="External"/><Relationship Id="rId28" Type="http://schemas.openxmlformats.org/officeDocument/2006/relationships/theme" Target="theme/theme1.xml"/><Relationship Id="rId10" Type="http://schemas.openxmlformats.org/officeDocument/2006/relationships/hyperlink" Target="http://www.workingre.com/sept-2015-how-and-why-of-your-appraisal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attendee.gotowebinar.com/register/833975539998961409" TargetMode="External"/><Relationship Id="rId14" Type="http://schemas.openxmlformats.org/officeDocument/2006/relationships/hyperlink" Target="http://www.workingre.com/fall-webinar-series-payment-page/"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1887</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12373</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Cary</cp:lastModifiedBy>
  <cp:revision>4</cp:revision>
  <dcterms:created xsi:type="dcterms:W3CDTF">2015-09-24T19:28:00Z</dcterms:created>
  <dcterms:modified xsi:type="dcterms:W3CDTF">2015-09-24T19:29:00Z</dcterms:modified>
</cp:coreProperties>
</file>